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74" w:rsidRPr="00862636" w:rsidRDefault="00705E74" w:rsidP="00705E74">
      <w:pPr>
        <w:pStyle w:val="Titre10"/>
        <w:jc w:val="center"/>
        <w:rPr>
          <w:lang w:val="en-US" w:bidi="en-US"/>
        </w:rPr>
      </w:pPr>
      <w:bookmarkStart w:id="0" w:name="_Toc462424392"/>
      <w:r w:rsidRPr="00862636">
        <w:rPr>
          <w:lang w:val="en-US" w:bidi="en-US"/>
        </w:rPr>
        <w:t>Polymorphism rs3087243 is associated with the occurrence of ankylosing spondylitis in the West Algerian population</w:t>
      </w:r>
    </w:p>
    <w:p w:rsidR="00705E74" w:rsidRPr="00862636" w:rsidRDefault="00705E74" w:rsidP="00705E7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705E74" w:rsidRPr="00862636" w:rsidRDefault="00705E74" w:rsidP="00705E74">
      <w:pPr>
        <w:pStyle w:val="author"/>
        <w:jc w:val="center"/>
        <w:rPr>
          <w:lang w:val="en-US"/>
        </w:rPr>
      </w:pPr>
      <w:bookmarkStart w:id="1" w:name="_Toc462424697"/>
      <w:proofErr w:type="spellStart"/>
      <w:r w:rsidRPr="00862636">
        <w:rPr>
          <w:lang w:val="en-US"/>
        </w:rPr>
        <w:t>Chahinez</w:t>
      </w:r>
      <w:proofErr w:type="spellEnd"/>
      <w:r w:rsidRPr="00862636">
        <w:rPr>
          <w:lang w:val="en-US"/>
        </w:rPr>
        <w:t xml:space="preserve"> Amira DAHMANI</w:t>
      </w:r>
      <w:r w:rsidRPr="00862636">
        <w:rPr>
          <w:vertAlign w:val="superscript"/>
          <w:lang w:val="en-US"/>
        </w:rPr>
        <w:t>1</w:t>
      </w:r>
      <w:r w:rsidRPr="00862636">
        <w:rPr>
          <w:lang w:val="en-US"/>
        </w:rPr>
        <w:t>, Ahmed BENZAOUI</w:t>
      </w:r>
      <w:r w:rsidRPr="00862636">
        <w:rPr>
          <w:vertAlign w:val="superscript"/>
          <w:lang w:val="en-US"/>
        </w:rPr>
        <w:t>2</w:t>
      </w:r>
      <w:r w:rsidRPr="00862636">
        <w:rPr>
          <w:lang w:val="en-US"/>
        </w:rPr>
        <w:t>, Fatima Zohra SEDIKI</w:t>
      </w:r>
      <w:r w:rsidRPr="00862636">
        <w:rPr>
          <w:vertAlign w:val="superscript"/>
          <w:lang w:val="en-US"/>
        </w:rPr>
        <w:t>1</w:t>
      </w:r>
      <w:r w:rsidRPr="00862636">
        <w:rPr>
          <w:lang w:val="en-US"/>
        </w:rPr>
        <w:t>, Leila ADDA NEGGAZ</w:t>
      </w:r>
      <w:r w:rsidRPr="00862636">
        <w:rPr>
          <w:vertAlign w:val="superscript"/>
          <w:lang w:val="en-US"/>
        </w:rPr>
        <w:t>1</w:t>
      </w:r>
      <w:r w:rsidRPr="00862636">
        <w:rPr>
          <w:lang w:val="en-US"/>
        </w:rPr>
        <w:t xml:space="preserve">, </w:t>
      </w:r>
      <w:proofErr w:type="spellStart"/>
      <w:r w:rsidRPr="00862636">
        <w:rPr>
          <w:lang w:val="en-US"/>
        </w:rPr>
        <w:t>Faouzia</w:t>
      </w:r>
      <w:proofErr w:type="spellEnd"/>
      <w:r w:rsidRPr="00862636">
        <w:rPr>
          <w:lang w:val="en-US"/>
        </w:rPr>
        <w:t xml:space="preserve"> ZEMANI FODIL</w:t>
      </w:r>
      <w:r w:rsidRPr="00862636">
        <w:rPr>
          <w:vertAlign w:val="superscript"/>
          <w:lang w:val="en-US"/>
        </w:rPr>
        <w:t>1</w:t>
      </w:r>
      <w:r w:rsidRPr="00862636">
        <w:rPr>
          <w:lang w:val="en-US"/>
        </w:rPr>
        <w:t>, Elisabeth PETIT-TEIXEIRA</w:t>
      </w:r>
      <w:r w:rsidRPr="00862636">
        <w:rPr>
          <w:vertAlign w:val="superscript"/>
          <w:lang w:val="en-US"/>
        </w:rPr>
        <w:t>3</w:t>
      </w:r>
      <w:r w:rsidRPr="00862636">
        <w:rPr>
          <w:lang w:val="en-US"/>
        </w:rPr>
        <w:t>, Abdallah BOUDJEMA</w:t>
      </w:r>
      <w:r w:rsidRPr="00862636">
        <w:rPr>
          <w:vertAlign w:val="superscript"/>
          <w:lang w:val="en-US"/>
        </w:rPr>
        <w:t>1</w:t>
      </w:r>
      <w:bookmarkEnd w:id="1"/>
    </w:p>
    <w:p w:rsidR="00705E74" w:rsidRPr="00313C18" w:rsidRDefault="00705E74" w:rsidP="00705E74">
      <w:pPr>
        <w:pStyle w:val="affiliation"/>
        <w:jc w:val="center"/>
      </w:pPr>
      <w:bookmarkStart w:id="2" w:name="_Toc462424698"/>
      <w:r w:rsidRPr="00313C18">
        <w:t>1. Laboratoire de Génétique Moléculaire et Cellulaire LGMC, Université des sciences et de la technologie d'Oran Mohamed Boudiaf USTOMB</w:t>
      </w:r>
      <w:bookmarkEnd w:id="2"/>
    </w:p>
    <w:p w:rsidR="00705E74" w:rsidRPr="00313C18" w:rsidRDefault="00705E74" w:rsidP="00705E74">
      <w:pPr>
        <w:pStyle w:val="affiliation"/>
        <w:jc w:val="center"/>
      </w:pPr>
      <w:bookmarkStart w:id="3" w:name="_Toc462424699"/>
      <w:r w:rsidRPr="00313C18">
        <w:t xml:space="preserve">2. Service de </w:t>
      </w:r>
      <w:proofErr w:type="spellStart"/>
      <w:r w:rsidRPr="00313C18">
        <w:t>Rheumatologie</w:t>
      </w:r>
      <w:proofErr w:type="spellEnd"/>
      <w:r w:rsidRPr="00313C18">
        <w:t xml:space="preserve">, Centre </w:t>
      </w:r>
      <w:proofErr w:type="spellStart"/>
      <w:r w:rsidRPr="00313C18">
        <w:t>Hospitalo</w:t>
      </w:r>
      <w:proofErr w:type="spellEnd"/>
      <w:r w:rsidRPr="00313C18">
        <w:t xml:space="preserve"> Universitaire d'Oran CHU</w:t>
      </w:r>
      <w:bookmarkEnd w:id="3"/>
    </w:p>
    <w:p w:rsidR="00705E74" w:rsidRPr="00313C18" w:rsidRDefault="00705E74" w:rsidP="00705E74">
      <w:pPr>
        <w:pStyle w:val="affiliation"/>
        <w:jc w:val="center"/>
      </w:pPr>
      <w:bookmarkStart w:id="4" w:name="_Toc462424700"/>
      <w:r w:rsidRPr="00313C18">
        <w:t xml:space="preserve">3. </w:t>
      </w:r>
      <w:proofErr w:type="spellStart"/>
      <w:r w:rsidRPr="00313C18">
        <w:t>Laboratoie</w:t>
      </w:r>
      <w:proofErr w:type="spellEnd"/>
      <w:r w:rsidRPr="00313C18">
        <w:t xml:space="preserve"> Européen de recherche polyarthrite </w:t>
      </w:r>
      <w:proofErr w:type="spellStart"/>
      <w:r w:rsidRPr="00313C18">
        <w:t>rhumatoide</w:t>
      </w:r>
      <w:proofErr w:type="spellEnd"/>
      <w:r w:rsidRPr="00313C18">
        <w:t xml:space="preserve">, </w:t>
      </w:r>
      <w:proofErr w:type="spellStart"/>
      <w:r w:rsidRPr="00313C18">
        <w:t>GenHotel</w:t>
      </w:r>
      <w:proofErr w:type="spellEnd"/>
      <w:r w:rsidRPr="00313C18">
        <w:t xml:space="preserve"> EA3886, Université d’</w:t>
      </w:r>
      <w:proofErr w:type="spellStart"/>
      <w:r w:rsidRPr="00313C18">
        <w:t>Evry</w:t>
      </w:r>
      <w:proofErr w:type="spellEnd"/>
      <w:r w:rsidRPr="00313C18">
        <w:t xml:space="preserve"> Val d’Essonne France</w:t>
      </w:r>
      <w:bookmarkEnd w:id="4"/>
    </w:p>
    <w:p w:rsidR="00705E74" w:rsidRPr="00313C18" w:rsidRDefault="00705E74" w:rsidP="00705E74">
      <w:pPr>
        <w:pStyle w:val="email"/>
        <w:jc w:val="center"/>
      </w:pPr>
      <w:bookmarkStart w:id="5" w:name="_Toc462424701"/>
      <w:r w:rsidRPr="00313C18">
        <w:t>chahinez.dahmani@univ-usto.dz, chahinez.dahmani23@gmail.com</w:t>
      </w:r>
      <w:bookmarkEnd w:id="5"/>
    </w:p>
    <w:p w:rsidR="00705E74" w:rsidRPr="00313C18" w:rsidRDefault="00705E74" w:rsidP="00705E74">
      <w:pPr>
        <w:autoSpaceDE w:val="0"/>
        <w:autoSpaceDN w:val="0"/>
        <w:adjustRightInd w:val="0"/>
        <w:jc w:val="both"/>
        <w:outlineLvl w:val="0"/>
        <w:rPr>
          <w:rFonts w:asciiTheme="majorBidi" w:hAnsiTheme="majorBidi" w:cstheme="majorBidi"/>
          <w:sz w:val="24"/>
          <w:szCs w:val="24"/>
        </w:rPr>
      </w:pPr>
    </w:p>
    <w:p w:rsidR="00705E74" w:rsidRPr="00862636" w:rsidRDefault="00705E74" w:rsidP="00705E74">
      <w:pPr>
        <w:autoSpaceDE w:val="0"/>
        <w:autoSpaceDN w:val="0"/>
        <w:adjustRightInd w:val="0"/>
        <w:jc w:val="both"/>
        <w:outlineLvl w:val="0"/>
        <w:rPr>
          <w:rFonts w:asciiTheme="majorBidi" w:hAnsiTheme="majorBidi" w:cstheme="majorBidi"/>
          <w:b/>
          <w:bCs/>
          <w:sz w:val="24"/>
          <w:szCs w:val="24"/>
          <w:lang w:val="en-US"/>
        </w:rPr>
      </w:pPr>
      <w:bookmarkStart w:id="6" w:name="_Toc462424702"/>
      <w:r w:rsidRPr="00862636">
        <w:rPr>
          <w:rFonts w:asciiTheme="majorBidi" w:hAnsiTheme="majorBidi" w:cstheme="majorBidi"/>
          <w:b/>
          <w:bCs/>
          <w:sz w:val="24"/>
          <w:szCs w:val="24"/>
          <w:lang w:val="en-US"/>
        </w:rPr>
        <w:t>Abstract</w:t>
      </w:r>
      <w:bookmarkEnd w:id="6"/>
    </w:p>
    <w:p w:rsidR="00705E74" w:rsidRPr="00862636" w:rsidRDefault="00705E74" w:rsidP="00705E7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Background</w:t>
      </w:r>
      <w:r w:rsidRPr="00862636">
        <w:rPr>
          <w:rFonts w:asciiTheme="majorBidi" w:hAnsiTheme="majorBidi" w:cstheme="majorBidi"/>
          <w:b/>
          <w:sz w:val="24"/>
          <w:szCs w:val="24"/>
          <w:lang w:val="en-US"/>
        </w:rPr>
        <w:t>:</w:t>
      </w:r>
      <w:r w:rsidRPr="00862636">
        <w:rPr>
          <w:rFonts w:asciiTheme="majorBidi" w:hAnsiTheme="majorBidi" w:cstheme="majorBidi"/>
          <w:sz w:val="24"/>
          <w:szCs w:val="24"/>
          <w:lang w:val="en-US"/>
        </w:rPr>
        <w:t xml:space="preserve"> Numerous studies have shown that polymorphism rs231775 of the CTLA4 gene </w:t>
      </w:r>
      <w:proofErr w:type="gramStart"/>
      <w:r w:rsidRPr="00862636">
        <w:rPr>
          <w:rFonts w:asciiTheme="majorBidi" w:hAnsiTheme="majorBidi" w:cstheme="majorBidi"/>
          <w:sz w:val="24"/>
          <w:szCs w:val="24"/>
          <w:lang w:val="en-US"/>
        </w:rPr>
        <w:t>is strongly implicated</w:t>
      </w:r>
      <w:proofErr w:type="gramEnd"/>
      <w:r w:rsidRPr="00862636">
        <w:rPr>
          <w:rFonts w:asciiTheme="majorBidi" w:hAnsiTheme="majorBidi" w:cstheme="majorBidi"/>
          <w:sz w:val="24"/>
          <w:szCs w:val="24"/>
          <w:lang w:val="en-US"/>
        </w:rPr>
        <w:t xml:space="preserve"> in the development of ankylosing spondylitis (AS). Other polymorphisms of this gene are candidates that may have an additional effect in susceptibility to AS. For the first time, we searched for the association of rs3087243 polymorphism located in the 3'UTR region of the CTLA4 gene with the development of SA in the Algerian population.</w:t>
      </w:r>
    </w:p>
    <w:p w:rsidR="00705E74" w:rsidRPr="00862636" w:rsidRDefault="00705E74" w:rsidP="00705E7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Methods: </w:t>
      </w:r>
      <w:r w:rsidRPr="00862636">
        <w:rPr>
          <w:rFonts w:asciiTheme="majorBidi" w:hAnsiTheme="majorBidi" w:cstheme="majorBidi"/>
          <w:sz w:val="24"/>
          <w:szCs w:val="24"/>
          <w:lang w:val="en-US"/>
        </w:rPr>
        <w:t xml:space="preserve">The study involved 200 subjects (80 AS patients recruited at the rheumatology service and 120 healthy individuals unrelated). Genotyping </w:t>
      </w:r>
      <w:proofErr w:type="gramStart"/>
      <w:r w:rsidRPr="00862636">
        <w:rPr>
          <w:rFonts w:asciiTheme="majorBidi" w:hAnsiTheme="majorBidi" w:cstheme="majorBidi"/>
          <w:sz w:val="24"/>
          <w:szCs w:val="24"/>
          <w:lang w:val="en-US"/>
        </w:rPr>
        <w:t>was performed</w:t>
      </w:r>
      <w:proofErr w:type="gramEnd"/>
      <w:r w:rsidRPr="00862636">
        <w:rPr>
          <w:rFonts w:asciiTheme="majorBidi" w:hAnsiTheme="majorBidi" w:cstheme="majorBidi"/>
          <w:sz w:val="24"/>
          <w:szCs w:val="24"/>
          <w:lang w:val="en-US"/>
        </w:rPr>
        <w:t xml:space="preserve"> by real-time PCR (</w:t>
      </w:r>
      <w:proofErr w:type="spellStart"/>
      <w:r w:rsidRPr="00862636">
        <w:rPr>
          <w:rFonts w:asciiTheme="majorBidi" w:hAnsiTheme="majorBidi" w:cstheme="majorBidi"/>
          <w:sz w:val="24"/>
          <w:szCs w:val="24"/>
          <w:lang w:val="en-US"/>
        </w:rPr>
        <w:t>Taqman</w:t>
      </w:r>
      <w:proofErr w:type="spellEnd"/>
      <w:r w:rsidRPr="00862636">
        <w:rPr>
          <w:rFonts w:asciiTheme="majorBidi" w:hAnsiTheme="majorBidi" w:cstheme="majorBidi"/>
          <w:sz w:val="24"/>
          <w:szCs w:val="24"/>
          <w:vertAlign w:val="superscript"/>
          <w:lang w:val="en-US"/>
        </w:rPr>
        <w:t>®</w:t>
      </w:r>
      <w:r w:rsidRPr="00862636">
        <w:rPr>
          <w:rFonts w:asciiTheme="majorBidi" w:hAnsiTheme="majorBidi" w:cstheme="majorBidi"/>
          <w:sz w:val="24"/>
          <w:szCs w:val="24"/>
          <w:lang w:val="en-US"/>
        </w:rPr>
        <w:t xml:space="preserve">). Analysis of the results </w:t>
      </w:r>
      <w:proofErr w:type="gramStart"/>
      <w:r w:rsidRPr="00862636">
        <w:rPr>
          <w:rFonts w:asciiTheme="majorBidi" w:hAnsiTheme="majorBidi" w:cstheme="majorBidi"/>
          <w:sz w:val="24"/>
          <w:szCs w:val="24"/>
          <w:lang w:val="en-US"/>
        </w:rPr>
        <w:t>was carried out</w:t>
      </w:r>
      <w:proofErr w:type="gramEnd"/>
      <w:r w:rsidRPr="00862636">
        <w:rPr>
          <w:rFonts w:asciiTheme="majorBidi" w:hAnsiTheme="majorBidi" w:cstheme="majorBidi"/>
          <w:sz w:val="24"/>
          <w:szCs w:val="24"/>
          <w:lang w:val="en-US"/>
        </w:rPr>
        <w:t xml:space="preserve"> by </w:t>
      </w:r>
      <w:proofErr w:type="spellStart"/>
      <w:r w:rsidRPr="00862636">
        <w:rPr>
          <w:rFonts w:asciiTheme="majorBidi" w:hAnsiTheme="majorBidi" w:cstheme="majorBidi"/>
          <w:sz w:val="24"/>
          <w:szCs w:val="24"/>
          <w:lang w:val="en-US"/>
        </w:rPr>
        <w:t>IBM.SPSS.Statictis</w:t>
      </w:r>
      <w:proofErr w:type="spellEnd"/>
      <w:r w:rsidRPr="00862636">
        <w:rPr>
          <w:rFonts w:asciiTheme="majorBidi" w:hAnsiTheme="majorBidi" w:cstheme="majorBidi"/>
          <w:sz w:val="24"/>
          <w:szCs w:val="24"/>
          <w:vertAlign w:val="superscript"/>
          <w:lang w:val="en-US"/>
        </w:rPr>
        <w:t>®</w:t>
      </w:r>
      <w:r w:rsidRPr="00862636">
        <w:rPr>
          <w:rFonts w:asciiTheme="majorBidi" w:hAnsiTheme="majorBidi" w:cstheme="majorBidi"/>
          <w:sz w:val="24"/>
          <w:szCs w:val="24"/>
          <w:lang w:val="en-US"/>
        </w:rPr>
        <w:t xml:space="preserve"> software.</w:t>
      </w:r>
    </w:p>
    <w:p w:rsidR="00705E74" w:rsidRPr="00862636" w:rsidRDefault="00705E74" w:rsidP="00705E7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Results: </w:t>
      </w:r>
      <w:r w:rsidRPr="00862636">
        <w:rPr>
          <w:rFonts w:asciiTheme="majorBidi" w:hAnsiTheme="majorBidi" w:cstheme="majorBidi"/>
          <w:sz w:val="24"/>
          <w:szCs w:val="24"/>
          <w:lang w:val="en-US"/>
        </w:rPr>
        <w:t xml:space="preserve">The distribution of allele frequencies showed a significant association between the GG genotype of the polymorphism rs3087243 and AS risk (OR= 1.77 [0.98-3.21], </w:t>
      </w:r>
      <w:r w:rsidRPr="00862636">
        <w:rPr>
          <w:rFonts w:asciiTheme="majorBidi" w:hAnsiTheme="majorBidi" w:cstheme="majorBidi"/>
          <w:i/>
          <w:sz w:val="24"/>
          <w:szCs w:val="24"/>
          <w:lang w:val="en-US"/>
        </w:rPr>
        <w:t>p</w:t>
      </w:r>
      <w:r w:rsidRPr="00862636">
        <w:rPr>
          <w:rFonts w:asciiTheme="majorBidi" w:hAnsiTheme="majorBidi" w:cstheme="majorBidi"/>
          <w:sz w:val="24"/>
          <w:szCs w:val="24"/>
          <w:lang w:val="en-US"/>
        </w:rPr>
        <w:t>=0.004).</w:t>
      </w:r>
    </w:p>
    <w:p w:rsidR="00705E74" w:rsidRPr="00862636" w:rsidRDefault="00705E74" w:rsidP="00705E74">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Conclusion: </w:t>
      </w:r>
      <w:r w:rsidRPr="00862636">
        <w:rPr>
          <w:rFonts w:asciiTheme="majorBidi" w:hAnsiTheme="majorBidi" w:cstheme="majorBidi"/>
          <w:sz w:val="24"/>
          <w:szCs w:val="24"/>
          <w:lang w:val="en-US"/>
        </w:rPr>
        <w:t xml:space="preserve">Our data would suggest that the 3'UTR region of the CTLA4 gene could have an impact on the development of SA in the West Algerian population. These results need to </w:t>
      </w:r>
      <w:proofErr w:type="gramStart"/>
      <w:r w:rsidRPr="00862636">
        <w:rPr>
          <w:rFonts w:asciiTheme="majorBidi" w:hAnsiTheme="majorBidi" w:cstheme="majorBidi"/>
          <w:sz w:val="24"/>
          <w:szCs w:val="24"/>
          <w:lang w:val="en-US"/>
        </w:rPr>
        <w:t>be confirmed</w:t>
      </w:r>
      <w:proofErr w:type="gramEnd"/>
      <w:r w:rsidRPr="00862636">
        <w:rPr>
          <w:rFonts w:asciiTheme="majorBidi" w:hAnsiTheme="majorBidi" w:cstheme="majorBidi"/>
          <w:sz w:val="24"/>
          <w:szCs w:val="24"/>
          <w:lang w:val="en-US"/>
        </w:rPr>
        <w:t xml:space="preserve"> on a larger sample.</w:t>
      </w:r>
    </w:p>
    <w:p w:rsidR="00705E74" w:rsidRPr="00862636" w:rsidRDefault="00705E74" w:rsidP="00705E74">
      <w:pPr>
        <w:pStyle w:val="keywords"/>
        <w:rPr>
          <w:lang w:val="en-US"/>
        </w:rPr>
      </w:pPr>
      <w:r w:rsidRPr="00862636">
        <w:rPr>
          <w:b/>
          <w:bCs/>
          <w:lang w:val="en-US"/>
        </w:rPr>
        <w:t>Keywords</w:t>
      </w:r>
      <w:r w:rsidRPr="00862636">
        <w:rPr>
          <w:lang w:val="en-US"/>
        </w:rPr>
        <w:t>: rs3087243, CTLA4, Ankylosing Spondylitis, West of Algeria</w:t>
      </w:r>
    </w:p>
    <w:p w:rsidR="00705E74" w:rsidRPr="00313C18" w:rsidRDefault="00705E74" w:rsidP="00705E74">
      <w:pPr>
        <w:pStyle w:val="heading1"/>
        <w:numPr>
          <w:ilvl w:val="0"/>
          <w:numId w:val="19"/>
        </w:numPr>
      </w:pPr>
      <w:r w:rsidRPr="00313C18">
        <w:t xml:space="preserve">Declaration of conflicts </w:t>
      </w:r>
    </w:p>
    <w:p w:rsidR="00705E74" w:rsidRPr="00862636" w:rsidRDefault="00705E74" w:rsidP="00705E74">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705E74" w:rsidRPr="00705E74" w:rsidRDefault="00705E74" w:rsidP="00705E74">
      <w:pPr>
        <w:pStyle w:val="heading1"/>
        <w:numPr>
          <w:ilvl w:val="0"/>
          <w:numId w:val="19"/>
        </w:numPr>
      </w:pPr>
      <w:r w:rsidRPr="00705E74">
        <w:lastRenderedPageBreak/>
        <w:t>Authors’ biography</w:t>
      </w:r>
    </w:p>
    <w:p w:rsidR="00705E74" w:rsidRPr="00313C18" w:rsidRDefault="00705E74" w:rsidP="00705E74">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705E74" w:rsidRPr="00313C18" w:rsidRDefault="00705E74" w:rsidP="00705E74">
      <w:pPr>
        <w:pStyle w:val="Normal1"/>
        <w:spacing w:line="240" w:lineRule="auto"/>
        <w:ind w:left="360"/>
        <w:jc w:val="both"/>
        <w:rPr>
          <w:rFonts w:asciiTheme="majorBidi" w:eastAsia="SimSun" w:hAnsiTheme="majorBidi" w:cstheme="majorBidi"/>
          <w:iCs/>
          <w:color w:val="auto"/>
          <w:sz w:val="24"/>
          <w:szCs w:val="24"/>
          <w:lang w:val="en-US" w:eastAsia="ar-SA"/>
        </w:rPr>
      </w:pPr>
    </w:p>
    <w:p w:rsidR="00705E74" w:rsidRPr="00705E74" w:rsidRDefault="00705E74" w:rsidP="00705E74">
      <w:pPr>
        <w:pStyle w:val="heading1"/>
        <w:numPr>
          <w:ilvl w:val="0"/>
          <w:numId w:val="19"/>
        </w:numPr>
      </w:pPr>
      <w:r w:rsidRPr="00705E74">
        <w:t xml:space="preserve">References </w:t>
      </w:r>
    </w:p>
    <w:p w:rsidR="00705E74" w:rsidRPr="00313C18" w:rsidRDefault="00705E74" w:rsidP="00705E74">
      <w:pPr>
        <w:suppressAutoHyphens/>
        <w:jc w:val="both"/>
        <w:rPr>
          <w:rFonts w:asciiTheme="majorBidi" w:hAnsiTheme="majorBidi" w:cstheme="majorBidi"/>
          <w:bCs/>
          <w:sz w:val="24"/>
          <w:szCs w:val="24"/>
          <w:lang w:eastAsia="ar-SA"/>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proofErr w:type="spellEnd"/>
      <w:r w:rsidRPr="00313C18">
        <w:rPr>
          <w:rFonts w:asciiTheme="majorBidi" w:eastAsia="SimSun" w:hAnsiTheme="majorBidi" w:cstheme="majorBidi"/>
          <w:bCs/>
          <w:sz w:val="24"/>
          <w:szCs w:val="24"/>
          <w:lang w:eastAsia="ar-SA"/>
        </w:rPr>
        <w:t xml:space="preserve"> </w:t>
      </w:r>
    </w:p>
    <w:p w:rsidR="00705E74" w:rsidRPr="00862636" w:rsidRDefault="00705E74" w:rsidP="00705E74"/>
    <w:p w:rsidR="00705E74" w:rsidRPr="007B7756" w:rsidRDefault="00705E74" w:rsidP="00705E74"/>
    <w:p w:rsidR="00705E74" w:rsidRPr="00765FAE" w:rsidRDefault="00705E74" w:rsidP="00705E74"/>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705E74" w:rsidRDefault="00705E74" w:rsidP="00765FAE">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bookmarkStart w:id="7" w:name="_GoBack"/>
      <w:bookmarkEnd w:id="0"/>
      <w:bookmarkEnd w:id="7"/>
    </w:p>
    <w:sectPr w:rsidR="00705E74" w:rsidSect="00AB3C41">
      <w:headerReference w:type="default" r:id="rId7"/>
      <w:footerReference w:type="default" r:id="rId8"/>
      <w:pgSz w:w="11907" w:h="16840"/>
      <w:pgMar w:top="1418" w:right="1418" w:bottom="1134" w:left="2552" w:header="720" w:footer="720"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A8" w:rsidRDefault="00E564A8">
      <w:r>
        <w:separator/>
      </w:r>
    </w:p>
  </w:endnote>
  <w:endnote w:type="continuationSeparator" w:id="0">
    <w:p w:rsidR="00E564A8" w:rsidRDefault="00E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639" w:rsidRDefault="00733C05"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AB3C41">
      <w:rPr>
        <w:rStyle w:val="Numrodepage"/>
        <w:noProof/>
      </w:rPr>
      <w:t>29</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A8" w:rsidRDefault="00E564A8">
      <w:r>
        <w:separator/>
      </w:r>
    </w:p>
  </w:footnote>
  <w:footnote w:type="continuationSeparator" w:id="0">
    <w:p w:rsidR="00E564A8" w:rsidRDefault="00E56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37" w:rsidRPr="00E84797" w:rsidRDefault="00B01737" w:rsidP="00AB3C41">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w:t>
    </w:r>
    <w:r w:rsidR="00AB3C41">
      <w:rPr>
        <w:sz w:val="18"/>
        <w:szCs w:val="18"/>
        <w:lang w:val="en-US"/>
      </w:rPr>
      <w:t>29</w:t>
    </w:r>
    <w:r>
      <w:rPr>
        <w:sz w:val="18"/>
        <w:szCs w:val="18"/>
        <w:lang w:val="en-US"/>
      </w:rPr>
      <w:t>-</w:t>
    </w:r>
    <w:r w:rsidR="00AB3C41">
      <w:rPr>
        <w:sz w:val="18"/>
        <w:szCs w:val="18"/>
        <w:lang w:val="en-US"/>
      </w:rPr>
      <w:t>30</w:t>
    </w:r>
    <w:r w:rsidRPr="00E84797">
      <w:rPr>
        <w:sz w:val="18"/>
        <w:szCs w:val="18"/>
        <w:lang w:val="en-US"/>
      </w:rPr>
      <w:t>.</w:t>
    </w:r>
  </w:p>
  <w:p w:rsidR="00B01737" w:rsidRPr="00B01737" w:rsidRDefault="00B01737"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8"/>
  </w:num>
  <w:num w:numId="3">
    <w:abstractNumId w:val="14"/>
  </w:num>
  <w:num w:numId="4">
    <w:abstractNumId w:val="4"/>
  </w:num>
  <w:num w:numId="5">
    <w:abstractNumId w:val="10"/>
  </w:num>
  <w:num w:numId="6">
    <w:abstractNumId w:val="9"/>
  </w:num>
  <w:num w:numId="7">
    <w:abstractNumId w:val="11"/>
  </w:num>
  <w:num w:numId="8">
    <w:abstractNumId w:val="18"/>
  </w:num>
  <w:num w:numId="9">
    <w:abstractNumId w:val="13"/>
  </w:num>
  <w:num w:numId="10">
    <w:abstractNumId w:val="12"/>
  </w:num>
  <w:num w:numId="11">
    <w:abstractNumId w:val="7"/>
  </w:num>
  <w:num w:numId="12">
    <w:abstractNumId w:val="3"/>
  </w:num>
  <w:num w:numId="13">
    <w:abstractNumId w:val="0"/>
  </w:num>
  <w:num w:numId="14">
    <w:abstractNumId w:val="16"/>
  </w:num>
  <w:num w:numId="15">
    <w:abstractNumId w:val="1"/>
  </w:num>
  <w:num w:numId="16">
    <w:abstractNumId w:val="2"/>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4A054F"/>
    <w:rsid w:val="00705E74"/>
    <w:rsid w:val="00733C05"/>
    <w:rsid w:val="00745D6B"/>
    <w:rsid w:val="00765FAE"/>
    <w:rsid w:val="007902A4"/>
    <w:rsid w:val="007B7756"/>
    <w:rsid w:val="00862636"/>
    <w:rsid w:val="008D1739"/>
    <w:rsid w:val="00A65935"/>
    <w:rsid w:val="00AB3C41"/>
    <w:rsid w:val="00B01737"/>
    <w:rsid w:val="00C50639"/>
    <w:rsid w:val="00E42EB3"/>
    <w:rsid w:val="00E56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7</TotalTime>
  <Pages>2</Pages>
  <Words>322</Words>
  <Characters>1775</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4</cp:revision>
  <cp:lastPrinted>1997-08-25T15:11:00Z</cp:lastPrinted>
  <dcterms:created xsi:type="dcterms:W3CDTF">2017-04-30T11:21:00Z</dcterms:created>
  <dcterms:modified xsi:type="dcterms:W3CDTF">2017-04-30T12:00:00Z</dcterms:modified>
</cp:coreProperties>
</file>