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DF" w:rsidRPr="00745D6B" w:rsidRDefault="00B938DF" w:rsidP="00235543">
      <w:pPr>
        <w:pStyle w:val="Titre10"/>
        <w:jc w:val="center"/>
        <w:rPr>
          <w:lang w:val="en-US" w:bidi="en-US"/>
        </w:rPr>
      </w:pPr>
      <w:bookmarkStart w:id="0" w:name="_Toc462424392"/>
      <w:r w:rsidRPr="00745D6B">
        <w:rPr>
          <w:lang w:val="en-US" w:bidi="en-US"/>
        </w:rPr>
        <w:t>Development of new antibacterial agents</w:t>
      </w:r>
    </w:p>
    <w:p w:rsidR="00B938DF" w:rsidRPr="00745D6B" w:rsidRDefault="00B938DF" w:rsidP="00B938DF">
      <w:pPr>
        <w:suppressAutoHyphens/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</w:pPr>
      <w:r w:rsidRPr="00745D6B">
        <w:rPr>
          <w:rFonts w:asciiTheme="majorBidi" w:eastAsia="SimSun" w:hAnsiTheme="majorBidi" w:cstheme="majorBidi"/>
          <w:b/>
          <w:sz w:val="24"/>
          <w:szCs w:val="24"/>
          <w:lang w:val="en-US" w:eastAsia="ar-SA"/>
        </w:rPr>
        <w:t>Type of article: Conference abstract</w:t>
      </w:r>
    </w:p>
    <w:p w:rsidR="00B938DF" w:rsidRPr="00765FAE" w:rsidRDefault="00B938DF" w:rsidP="00235543">
      <w:pPr>
        <w:pStyle w:val="author"/>
        <w:jc w:val="center"/>
      </w:pPr>
      <w:bookmarkStart w:id="1" w:name="_Toc462424401"/>
      <w:proofErr w:type="spellStart"/>
      <w:r w:rsidRPr="00765FAE">
        <w:t>Assia</w:t>
      </w:r>
      <w:proofErr w:type="spellEnd"/>
      <w:r w:rsidRPr="00765FAE">
        <w:t xml:space="preserve"> Keniche</w:t>
      </w:r>
      <w:r w:rsidRPr="00765FAE">
        <w:rPr>
          <w:vertAlign w:val="superscript"/>
        </w:rPr>
        <w:t>1</w:t>
      </w:r>
      <w:proofErr w:type="gramStart"/>
      <w:r w:rsidRPr="00765FAE">
        <w:rPr>
          <w:vertAlign w:val="superscript"/>
        </w:rPr>
        <w:t>,2</w:t>
      </w:r>
      <w:proofErr w:type="gramEnd"/>
      <w:r w:rsidRPr="00765FAE">
        <w:t>, Samia Bellifa</w:t>
      </w:r>
      <w:r w:rsidRPr="00765FAE">
        <w:rPr>
          <w:vertAlign w:val="superscript"/>
        </w:rPr>
        <w:t>3</w:t>
      </w:r>
      <w:r w:rsidRPr="00765FAE">
        <w:t>, Hafida Hassaine</w:t>
      </w:r>
      <w:r w:rsidRPr="00765FAE">
        <w:rPr>
          <w:vertAlign w:val="superscript"/>
        </w:rPr>
        <w:t>3</w:t>
      </w:r>
      <w:r w:rsidRPr="00765FAE">
        <w:t xml:space="preserve">, Joseph </w:t>
      </w:r>
      <w:proofErr w:type="spellStart"/>
      <w:r w:rsidRPr="00765FAE">
        <w:t>Kajima</w:t>
      </w:r>
      <w:proofErr w:type="spellEnd"/>
      <w:r w:rsidRPr="00765FAE">
        <w:t xml:space="preserve"> Mulengi</w:t>
      </w:r>
      <w:r w:rsidRPr="00765FAE">
        <w:rPr>
          <w:vertAlign w:val="superscript"/>
        </w:rPr>
        <w:t>1</w:t>
      </w:r>
      <w:bookmarkEnd w:id="1"/>
    </w:p>
    <w:p w:rsidR="00B938DF" w:rsidRPr="00313C18" w:rsidRDefault="00B938DF" w:rsidP="00235543">
      <w:pPr>
        <w:pStyle w:val="affiliation"/>
        <w:jc w:val="center"/>
      </w:pPr>
      <w:bookmarkStart w:id="2" w:name="_Toc462424402"/>
      <w:r w:rsidRPr="00313C18">
        <w:t xml:space="preserve">1. Laboratoire de Chimie Organique, Substances Naturelles et Analyses (COSNA), </w:t>
      </w:r>
      <w:proofErr w:type="spellStart"/>
      <w:r w:rsidRPr="00313C18">
        <w:t>University</w:t>
      </w:r>
      <w:proofErr w:type="spellEnd"/>
      <w:r w:rsidRPr="00313C18">
        <w:t xml:space="preserve"> of Tlemcen, </w:t>
      </w:r>
      <w:proofErr w:type="spellStart"/>
      <w:r w:rsidRPr="00313C18">
        <w:t>Algeria</w:t>
      </w:r>
      <w:bookmarkEnd w:id="2"/>
      <w:proofErr w:type="spellEnd"/>
    </w:p>
    <w:p w:rsidR="00B938DF" w:rsidRPr="00313C18" w:rsidRDefault="00B938DF" w:rsidP="00235543">
      <w:pPr>
        <w:pStyle w:val="affiliation"/>
        <w:jc w:val="center"/>
      </w:pPr>
      <w:bookmarkStart w:id="3" w:name="_Toc462424403"/>
      <w:r w:rsidRPr="00313C18">
        <w:t xml:space="preserve">2. Centre Universitaire de </w:t>
      </w:r>
      <w:proofErr w:type="spellStart"/>
      <w:r w:rsidRPr="00313C18">
        <w:t>Maghnia</w:t>
      </w:r>
      <w:proofErr w:type="spellEnd"/>
      <w:r w:rsidRPr="00313C18">
        <w:t xml:space="preserve">, Tlemcen, </w:t>
      </w:r>
      <w:proofErr w:type="spellStart"/>
      <w:r w:rsidRPr="00313C18">
        <w:t>Algeria</w:t>
      </w:r>
      <w:bookmarkEnd w:id="3"/>
      <w:proofErr w:type="spellEnd"/>
    </w:p>
    <w:p w:rsidR="00B938DF" w:rsidRPr="00313C18" w:rsidRDefault="00B938DF" w:rsidP="00235543">
      <w:pPr>
        <w:pStyle w:val="affiliation"/>
        <w:jc w:val="center"/>
      </w:pPr>
      <w:bookmarkStart w:id="4" w:name="_Toc462424404"/>
      <w:r w:rsidRPr="00313C18">
        <w:t xml:space="preserve">3. Laboratoire de microbiologie appliquée à l’agroalimentaire au biomédical et a l’environnement (LAMAABE), </w:t>
      </w:r>
      <w:proofErr w:type="spellStart"/>
      <w:r w:rsidRPr="00313C18">
        <w:t>University</w:t>
      </w:r>
      <w:proofErr w:type="spellEnd"/>
      <w:r w:rsidRPr="00313C18">
        <w:t xml:space="preserve"> of </w:t>
      </w:r>
      <w:proofErr w:type="spellStart"/>
      <w:r w:rsidRPr="00313C18">
        <w:t>Tlemen</w:t>
      </w:r>
      <w:proofErr w:type="spellEnd"/>
      <w:r w:rsidRPr="00313C18">
        <w:t xml:space="preserve">, </w:t>
      </w:r>
      <w:proofErr w:type="spellStart"/>
      <w:r w:rsidRPr="00313C18">
        <w:t>Algeria</w:t>
      </w:r>
      <w:bookmarkEnd w:id="4"/>
      <w:proofErr w:type="spellEnd"/>
    </w:p>
    <w:p w:rsidR="00B938DF" w:rsidRPr="00862636" w:rsidRDefault="00B938DF" w:rsidP="00235543">
      <w:pPr>
        <w:pStyle w:val="email"/>
        <w:jc w:val="center"/>
        <w:rPr>
          <w:lang w:val="en-US"/>
        </w:rPr>
      </w:pPr>
      <w:bookmarkStart w:id="5" w:name="_Toc462424405"/>
      <w:r w:rsidRPr="00862636">
        <w:rPr>
          <w:lang w:val="en-US"/>
        </w:rPr>
        <w:t>Keniche_assia@yahoo.fr</w:t>
      </w:r>
      <w:bookmarkEnd w:id="5"/>
    </w:p>
    <w:p w:rsidR="00B938DF" w:rsidRPr="00862636" w:rsidRDefault="00B938DF" w:rsidP="00B938DF">
      <w:pPr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938DF" w:rsidRPr="00862636" w:rsidRDefault="00B938DF" w:rsidP="00B938DF">
      <w:pPr>
        <w:autoSpaceDE w:val="0"/>
        <w:autoSpaceDN w:val="0"/>
        <w:adjustRightInd w:val="0"/>
        <w:jc w:val="both"/>
        <w:outlineLvl w:val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6" w:name="_Toc462424406"/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bookmarkEnd w:id="6"/>
    </w:p>
    <w:p w:rsidR="00B938DF" w:rsidRPr="00862636" w:rsidRDefault="00B938DF" w:rsidP="00B938D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Background: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Antibiotics, as miraculous drugs,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have been used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extensively to confront fatal infection, even without prescriptions. However, the inappropriate and disproportionate use of antibiotics have led to the emergence of new drug-resistant bacteria1, which causes a high risk of serious diseases and dramatically aggravates the clinical complications in hospitals.</w:t>
      </w:r>
    </w:p>
    <w:p w:rsidR="00B938DF" w:rsidRPr="00862636" w:rsidRDefault="00B938DF" w:rsidP="00B938D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Methods: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By using the peptide coupling protocol, a simple straightforward synthesis of functionalized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aziridines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has been developed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>. By means of this synthetic strategy from readily available N-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phtaloyl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acide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and 2-methylbenzosulfonate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aziridine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using DCC as coupling agent, new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tosylates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aziridines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could be obtained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>. The coupling reactions occurred without a ring opening of the three membered ring.</w:t>
      </w:r>
    </w:p>
    <w:p w:rsidR="00B938DF" w:rsidRPr="00862636" w:rsidRDefault="00B938DF" w:rsidP="00B938D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Results: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This work describes new results of our ongoing research targeting new derivatives of biological interests. All the compounds were screened for their antibacterial activity; they all showed comparable moderate to good growth inhibitory activity with reference to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tetracyclin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and gentamicin.</w:t>
      </w:r>
    </w:p>
    <w:p w:rsidR="00B938DF" w:rsidRPr="00862636" w:rsidRDefault="00B938DF" w:rsidP="00B938D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Conclusion: </w:t>
      </w: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In conclusion, we reported the synthesis and a preliminary antibacterial evaluation of novel functionalized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tosylaziridines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. The synthetic strategy relies on the coupling reactions between </w:t>
      </w:r>
      <w:proofErr w:type="spellStart"/>
      <w:r w:rsidRPr="00862636">
        <w:rPr>
          <w:rFonts w:asciiTheme="majorBidi" w:hAnsiTheme="majorBidi" w:cstheme="majorBidi"/>
          <w:sz w:val="24"/>
          <w:szCs w:val="24"/>
          <w:lang w:val="en-US"/>
        </w:rPr>
        <w:t>tosylaziridines</w:t>
      </w:r>
      <w:proofErr w:type="spell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and amino acids. Moreover, and besides showing interesting antibacterial activities, the series of novel compounds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can be further improved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to serve as potential drug against nosocomial diseases.</w:t>
      </w:r>
    </w:p>
    <w:p w:rsidR="00B938DF" w:rsidRPr="00313C18" w:rsidRDefault="00B938DF" w:rsidP="00235543">
      <w:pPr>
        <w:pStyle w:val="keywords"/>
      </w:pPr>
      <w:proofErr w:type="gramStart"/>
      <w:r w:rsidRPr="00313C18">
        <w:rPr>
          <w:b/>
          <w:bCs/>
        </w:rPr>
        <w:t>Keywords:</w:t>
      </w:r>
      <w:proofErr w:type="gramEnd"/>
      <w:r w:rsidRPr="00313C18">
        <w:rPr>
          <w:b/>
          <w:bCs/>
        </w:rPr>
        <w:t xml:space="preserve"> </w:t>
      </w:r>
      <w:proofErr w:type="spellStart"/>
      <w:r w:rsidRPr="00313C18">
        <w:t>Aziridines</w:t>
      </w:r>
      <w:proofErr w:type="spellEnd"/>
      <w:r w:rsidRPr="00313C18">
        <w:t xml:space="preserve">, </w:t>
      </w:r>
      <w:proofErr w:type="spellStart"/>
      <w:r w:rsidRPr="00313C18">
        <w:t>Phtaloyl</w:t>
      </w:r>
      <w:proofErr w:type="spellEnd"/>
      <w:r w:rsidRPr="00313C18">
        <w:t xml:space="preserve"> acide, </w:t>
      </w:r>
      <w:proofErr w:type="spellStart"/>
      <w:r w:rsidRPr="00313C18">
        <w:t>Strained</w:t>
      </w:r>
      <w:proofErr w:type="spellEnd"/>
      <w:r w:rsidRPr="00313C18">
        <w:t xml:space="preserve"> </w:t>
      </w:r>
      <w:proofErr w:type="spellStart"/>
      <w:r w:rsidRPr="00313C18">
        <w:t>heterocycles</w:t>
      </w:r>
      <w:proofErr w:type="spellEnd"/>
      <w:r w:rsidRPr="00313C18">
        <w:t xml:space="preserve">, </w:t>
      </w:r>
      <w:proofErr w:type="spellStart"/>
      <w:r w:rsidRPr="00313C18">
        <w:t>Antibiotics</w:t>
      </w:r>
      <w:proofErr w:type="spellEnd"/>
    </w:p>
    <w:p w:rsidR="00B938DF" w:rsidRPr="00313C18" w:rsidRDefault="00B938DF" w:rsidP="00235543">
      <w:pPr>
        <w:pStyle w:val="heading1"/>
        <w:numPr>
          <w:ilvl w:val="0"/>
          <w:numId w:val="20"/>
        </w:numPr>
      </w:pPr>
      <w:r w:rsidRPr="00313C18">
        <w:lastRenderedPageBreak/>
        <w:t xml:space="preserve">Declaration of conflicts </w:t>
      </w:r>
    </w:p>
    <w:p w:rsidR="00B938DF" w:rsidRPr="00862636" w:rsidRDefault="00B938DF" w:rsidP="00B938DF">
      <w:pPr>
        <w:tabs>
          <w:tab w:val="left" w:pos="2923"/>
        </w:tabs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This article </w:t>
      </w:r>
      <w:proofErr w:type="gramStart"/>
      <w:r w:rsidRPr="00862636">
        <w:rPr>
          <w:rFonts w:asciiTheme="majorBidi" w:hAnsiTheme="majorBidi" w:cstheme="majorBidi"/>
          <w:sz w:val="24"/>
          <w:szCs w:val="24"/>
          <w:lang w:val="en-US"/>
        </w:rPr>
        <w:t>was selected</w:t>
      </w:r>
      <w:proofErr w:type="gramEnd"/>
      <w:r w:rsidRPr="00862636">
        <w:rPr>
          <w:rFonts w:asciiTheme="majorBidi" w:hAnsiTheme="majorBidi" w:cstheme="majorBidi"/>
          <w:sz w:val="24"/>
          <w:szCs w:val="24"/>
          <w:lang w:val="en-US"/>
        </w:rPr>
        <w:t xml:space="preserve"> from the International Conference of Health Sciences and Medical Technologies 2016 ICHSMT’16 abstracts book. </w:t>
      </w:r>
    </w:p>
    <w:p w:rsidR="00B938DF" w:rsidRPr="00235543" w:rsidRDefault="00B938DF" w:rsidP="00235543">
      <w:pPr>
        <w:pStyle w:val="heading1"/>
        <w:numPr>
          <w:ilvl w:val="0"/>
          <w:numId w:val="20"/>
        </w:numPr>
      </w:pPr>
      <w:r w:rsidRPr="00235543">
        <w:t>Authors’ biography</w:t>
      </w:r>
    </w:p>
    <w:p w:rsidR="00B938DF" w:rsidRPr="00313C18" w:rsidRDefault="00B938DF" w:rsidP="00B938DF">
      <w:pPr>
        <w:pStyle w:val="Normal1"/>
        <w:spacing w:line="240" w:lineRule="auto"/>
        <w:ind w:left="360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  <w:r w:rsidRPr="00313C18"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  <w:t xml:space="preserve">No Biography </w:t>
      </w:r>
    </w:p>
    <w:p w:rsidR="00B938DF" w:rsidRPr="00313C18" w:rsidRDefault="00B938DF" w:rsidP="00B938DF">
      <w:pPr>
        <w:pStyle w:val="Normal1"/>
        <w:spacing w:line="240" w:lineRule="auto"/>
        <w:ind w:left="360"/>
        <w:jc w:val="both"/>
        <w:rPr>
          <w:rFonts w:asciiTheme="majorBidi" w:eastAsia="SimSun" w:hAnsiTheme="majorBidi" w:cstheme="majorBidi"/>
          <w:iCs/>
          <w:color w:val="auto"/>
          <w:sz w:val="24"/>
          <w:szCs w:val="24"/>
          <w:lang w:val="en-US" w:eastAsia="ar-SA"/>
        </w:rPr>
      </w:pPr>
    </w:p>
    <w:p w:rsidR="00B938DF" w:rsidRPr="00235543" w:rsidRDefault="00B938DF" w:rsidP="00235543">
      <w:pPr>
        <w:pStyle w:val="heading1"/>
        <w:numPr>
          <w:ilvl w:val="0"/>
          <w:numId w:val="20"/>
        </w:numPr>
      </w:pPr>
      <w:r w:rsidRPr="00235543">
        <w:t xml:space="preserve">References </w:t>
      </w:r>
    </w:p>
    <w:p w:rsidR="00B938DF" w:rsidRPr="00313C18" w:rsidRDefault="00B938DF" w:rsidP="00B938DF">
      <w:pPr>
        <w:suppressAutoHyphens/>
        <w:jc w:val="both"/>
        <w:rPr>
          <w:rFonts w:asciiTheme="majorBidi" w:hAnsiTheme="majorBidi" w:cstheme="majorBidi"/>
          <w:bCs/>
          <w:sz w:val="24"/>
          <w:szCs w:val="24"/>
          <w:lang w:eastAsia="ar-SA"/>
        </w:rPr>
      </w:pPr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No </w:t>
      </w:r>
      <w:proofErr w:type="spellStart"/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>reference</w:t>
      </w:r>
      <w:proofErr w:type="spellEnd"/>
      <w:r w:rsidRPr="00313C18">
        <w:rPr>
          <w:rFonts w:asciiTheme="majorBidi" w:eastAsia="SimSun" w:hAnsiTheme="majorBidi" w:cstheme="majorBidi"/>
          <w:bCs/>
          <w:sz w:val="24"/>
          <w:szCs w:val="24"/>
          <w:lang w:eastAsia="ar-SA"/>
        </w:rPr>
        <w:t xml:space="preserve"> </w:t>
      </w:r>
    </w:p>
    <w:p w:rsidR="00B938DF" w:rsidRDefault="00B938DF" w:rsidP="00B938DF">
      <w:pPr>
        <w:pStyle w:val="Titre1"/>
        <w:rPr>
          <w:sz w:val="24"/>
          <w:szCs w:val="24"/>
        </w:rPr>
      </w:pPr>
      <w:bookmarkStart w:id="7" w:name="_Toc462424471"/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Default="00B938DF" w:rsidP="00B938DF">
      <w:pPr>
        <w:rPr>
          <w:lang w:val="en-US" w:eastAsia="ar-SA"/>
        </w:rPr>
      </w:pPr>
    </w:p>
    <w:p w:rsidR="00B938DF" w:rsidRPr="00A65935" w:rsidRDefault="00B938DF" w:rsidP="00B938DF">
      <w:pPr>
        <w:rPr>
          <w:lang w:val="en-US" w:eastAsia="ar-SA"/>
        </w:rPr>
      </w:pPr>
      <w:bookmarkStart w:id="8" w:name="_GoBack"/>
      <w:bookmarkEnd w:id="0"/>
      <w:bookmarkEnd w:id="7"/>
      <w:bookmarkEnd w:id="8"/>
    </w:p>
    <w:sectPr w:rsidR="00B938DF" w:rsidRPr="00A65935" w:rsidSect="0099047F">
      <w:headerReference w:type="default" r:id="rId7"/>
      <w:footerReference w:type="default" r:id="rId8"/>
      <w:pgSz w:w="11907" w:h="16840"/>
      <w:pgMar w:top="1418" w:right="1418" w:bottom="1134" w:left="2552" w:header="720" w:footer="720" w:gutter="0"/>
      <w:pgNumType w:start="3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8B0" w:rsidRDefault="009628B0">
      <w:r>
        <w:separator/>
      </w:r>
    </w:p>
  </w:endnote>
  <w:endnote w:type="continuationSeparator" w:id="0">
    <w:p w:rsidR="009628B0" w:rsidRDefault="0096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BD7" w:rsidRDefault="006B334D" w:rsidP="008D1739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9047F">
      <w:rPr>
        <w:rStyle w:val="Numrodepage"/>
        <w:noProof/>
      </w:rPr>
      <w:t>32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8B0" w:rsidRDefault="009628B0">
      <w:r>
        <w:separator/>
      </w:r>
    </w:p>
  </w:footnote>
  <w:footnote w:type="continuationSeparator" w:id="0">
    <w:p w:rsidR="009628B0" w:rsidRDefault="00962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37" w:rsidRPr="00E84797" w:rsidRDefault="00B01737" w:rsidP="0099047F">
    <w:pPr>
      <w:pStyle w:val="En-tte"/>
      <w:rPr>
        <w:sz w:val="18"/>
        <w:szCs w:val="18"/>
        <w:lang w:val="en-US"/>
      </w:rPr>
    </w:pPr>
    <w:r w:rsidRPr="00E84797">
      <w:rPr>
        <w:sz w:val="18"/>
        <w:szCs w:val="18"/>
        <w:lang w:val="en-US"/>
      </w:rPr>
      <w:t xml:space="preserve">Medical Technologies Journal                                           Volume: 1, Issue: </w:t>
    </w:r>
    <w:r>
      <w:rPr>
        <w:sz w:val="18"/>
        <w:szCs w:val="18"/>
        <w:lang w:val="en-US"/>
      </w:rPr>
      <w:t>-</w:t>
    </w:r>
    <w:r w:rsidRPr="00E84797">
      <w:rPr>
        <w:sz w:val="18"/>
        <w:szCs w:val="18"/>
        <w:lang w:val="en-US"/>
      </w:rPr>
      <w:t>, January-March 2017, Pages:</w:t>
    </w:r>
    <w:r>
      <w:rPr>
        <w:sz w:val="18"/>
        <w:szCs w:val="18"/>
        <w:lang w:val="en-US"/>
      </w:rPr>
      <w:t xml:space="preserve"> </w:t>
    </w:r>
    <w:r w:rsidR="0099047F">
      <w:rPr>
        <w:sz w:val="18"/>
        <w:szCs w:val="18"/>
        <w:lang w:val="en-US"/>
      </w:rPr>
      <w:t>31</w:t>
    </w:r>
    <w:r>
      <w:rPr>
        <w:sz w:val="18"/>
        <w:szCs w:val="18"/>
        <w:lang w:val="en-US"/>
      </w:rPr>
      <w:t>-</w:t>
    </w:r>
    <w:r w:rsidR="00705E74">
      <w:rPr>
        <w:sz w:val="18"/>
        <w:szCs w:val="18"/>
        <w:lang w:val="en-US"/>
      </w:rPr>
      <w:t>3</w:t>
    </w:r>
    <w:r w:rsidR="0099047F">
      <w:rPr>
        <w:sz w:val="18"/>
        <w:szCs w:val="18"/>
        <w:lang w:val="en-US"/>
      </w:rPr>
      <w:t>2</w:t>
    </w:r>
    <w:r w:rsidRPr="00E84797">
      <w:rPr>
        <w:sz w:val="18"/>
        <w:szCs w:val="18"/>
        <w:lang w:val="en-US"/>
      </w:rPr>
      <w:t>.</w:t>
    </w:r>
  </w:p>
  <w:p w:rsidR="00B01737" w:rsidRPr="00B01737" w:rsidRDefault="00B01737" w:rsidP="00B01737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E7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5A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B2E3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3F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5AD"/>
    <w:multiLevelType w:val="multilevel"/>
    <w:tmpl w:val="373AFA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86298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D3352E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8F5482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1E5D0A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C1617"/>
    <w:multiLevelType w:val="hybridMultilevel"/>
    <w:tmpl w:val="EF2631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C1723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2ABC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A142058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A6642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1964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D4DA6"/>
    <w:multiLevelType w:val="multilevel"/>
    <w:tmpl w:val="C17EB3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5F3D63"/>
    <w:multiLevelType w:val="multilevel"/>
    <w:tmpl w:val="79BC8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2E96175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71867"/>
    <w:multiLevelType w:val="multilevel"/>
    <w:tmpl w:val="041E4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4A0520"/>
    <w:multiLevelType w:val="hybridMultilevel"/>
    <w:tmpl w:val="C1521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19"/>
  </w:num>
  <w:num w:numId="9">
    <w:abstractNumId w:val="14"/>
  </w:num>
  <w:num w:numId="10">
    <w:abstractNumId w:val="13"/>
  </w:num>
  <w:num w:numId="11">
    <w:abstractNumId w:val="8"/>
  </w:num>
  <w:num w:numId="12">
    <w:abstractNumId w:val="3"/>
  </w:num>
  <w:num w:numId="13">
    <w:abstractNumId w:val="0"/>
  </w:num>
  <w:num w:numId="14">
    <w:abstractNumId w:val="17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A4"/>
    <w:rsid w:val="00235543"/>
    <w:rsid w:val="00367BD7"/>
    <w:rsid w:val="004A054F"/>
    <w:rsid w:val="006B334D"/>
    <w:rsid w:val="00705E74"/>
    <w:rsid w:val="00745D6B"/>
    <w:rsid w:val="00765FAE"/>
    <w:rsid w:val="007902A4"/>
    <w:rsid w:val="007B7756"/>
    <w:rsid w:val="00862636"/>
    <w:rsid w:val="008D1739"/>
    <w:rsid w:val="009628B0"/>
    <w:rsid w:val="0099047F"/>
    <w:rsid w:val="00A65935"/>
    <w:rsid w:val="00B01737"/>
    <w:rsid w:val="00B67BA4"/>
    <w:rsid w:val="00B938DF"/>
    <w:rsid w:val="00C90FCD"/>
    <w:rsid w:val="00E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1C023-6745-458E-A638-315971E4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737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862636"/>
    <w:pPr>
      <w:keepNext/>
      <w:keepLines/>
      <w:spacing w:after="0" w:line="240" w:lineRule="auto"/>
      <w:jc w:val="center"/>
      <w:outlineLvl w:val="0"/>
    </w:pPr>
    <w:rPr>
      <w:rFonts w:asciiTheme="majorBidi" w:eastAsia="SimSun" w:hAnsiTheme="majorBidi" w:cstheme="majorBidi"/>
      <w:b/>
      <w:bCs/>
      <w:color w:val="000000" w:themeColor="text1"/>
      <w:sz w:val="20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abbreviations">
    <w:name w:val="abbreviations"/>
    <w:basedOn w:val="abstract"/>
    <w:next w:val="Normal"/>
    <w:pPr>
      <w:tabs>
        <w:tab w:val="left" w:pos="3402"/>
      </w:tabs>
      <w:ind w:left="3402" w:hanging="3402"/>
    </w:pPr>
  </w:style>
  <w:style w:type="paragraph" w:customStyle="1" w:styleId="Titre10">
    <w:name w:val="Titre1"/>
    <w:basedOn w:val="Normal"/>
    <w:next w:val="author"/>
    <w:rPr>
      <w:rFonts w:ascii="Arial" w:hAnsi="Arial"/>
      <w:b/>
      <w:sz w:val="36"/>
    </w:rPr>
  </w:style>
  <w:style w:type="paragraph" w:customStyle="1" w:styleId="heading1">
    <w:name w:val="heading1"/>
    <w:basedOn w:val="Normal"/>
    <w:next w:val="Normal"/>
    <w:pPr>
      <w:keepNext/>
      <w:spacing w:before="240" w:after="180"/>
    </w:pPr>
    <w:rPr>
      <w:rFonts w:ascii="Arial" w:hAnsi="Arial"/>
      <w:b/>
      <w:sz w:val="32"/>
    </w:rPr>
  </w:style>
  <w:style w:type="paragraph" w:customStyle="1" w:styleId="heading2">
    <w:name w:val="heading2"/>
    <w:basedOn w:val="Normal"/>
    <w:next w:val="Normal"/>
    <w:pPr>
      <w:keepNext/>
      <w:spacing w:before="240" w:after="180"/>
    </w:pPr>
    <w:rPr>
      <w:rFonts w:ascii="Arial" w:hAnsi="Arial"/>
      <w:b/>
    </w:rPr>
  </w:style>
  <w:style w:type="paragraph" w:customStyle="1" w:styleId="heading3">
    <w:name w:val="heading3"/>
    <w:basedOn w:val="Normal"/>
    <w:next w:val="Normal"/>
    <w:pPr>
      <w:keepNext/>
      <w:spacing w:before="240" w:after="180"/>
    </w:pPr>
    <w:rPr>
      <w:rFonts w:ascii="Arial" w:hAnsi="Arial"/>
      <w:i/>
    </w:rPr>
  </w:style>
  <w:style w:type="paragraph" w:customStyle="1" w:styleId="run-in">
    <w:name w:val="run-in"/>
    <w:basedOn w:val="Normal"/>
    <w:next w:val="Normal"/>
    <w:pPr>
      <w:keepNext/>
      <w:spacing w:before="120"/>
    </w:pPr>
    <w:rPr>
      <w:b/>
    </w:rPr>
  </w:style>
  <w:style w:type="paragraph" w:customStyle="1" w:styleId="Titre11">
    <w:name w:val="Titre1"/>
    <w:basedOn w:val="Normal"/>
    <w:next w:val="Normal"/>
    <w:rsid w:val="00B01737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eastAsia="de-DE"/>
    </w:rPr>
  </w:style>
  <w:style w:type="paragraph" w:customStyle="1" w:styleId="figurecitation">
    <w:name w:val="figurecitation"/>
    <w:basedOn w:val="Normal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rFonts w:ascii="Arial" w:hAnsi="Arial"/>
      <w:b/>
      <w:sz w:val="36"/>
    </w:rPr>
  </w:style>
  <w:style w:type="paragraph" w:customStyle="1" w:styleId="acknowledgements">
    <w:name w:val="acknowledgements"/>
    <w:basedOn w:val="abstract"/>
    <w:next w:val="Normal"/>
    <w:pPr>
      <w:spacing w:before="240"/>
    </w:pPr>
  </w:style>
  <w:style w:type="paragraph" w:customStyle="1" w:styleId="author">
    <w:name w:val="author"/>
    <w:basedOn w:val="Normal"/>
    <w:next w:val="affiliation"/>
    <w:pPr>
      <w:spacing w:before="120"/>
    </w:pPr>
  </w:style>
  <w:style w:type="paragraph" w:customStyle="1" w:styleId="affiliation">
    <w:name w:val="affiliation"/>
    <w:basedOn w:val="Normal"/>
    <w:next w:val="phone"/>
    <w:pPr>
      <w:spacing w:before="120" w:line="240" w:lineRule="auto"/>
    </w:pPr>
    <w:rPr>
      <w:i/>
    </w:rPr>
  </w:style>
  <w:style w:type="paragraph" w:customStyle="1" w:styleId="email">
    <w:name w:val="email"/>
    <w:basedOn w:val="Normal"/>
    <w:next w:val="url"/>
    <w:pPr>
      <w:spacing w:before="120" w:line="240" w:lineRule="auto"/>
    </w:pPr>
    <w:rPr>
      <w:sz w:val="20"/>
    </w:rPr>
  </w:style>
  <w:style w:type="paragraph" w:customStyle="1" w:styleId="phone">
    <w:name w:val="phone"/>
    <w:basedOn w:val="email"/>
    <w:next w:val="fax"/>
  </w:style>
  <w:style w:type="paragraph" w:customStyle="1" w:styleId="fax">
    <w:name w:val="fax"/>
    <w:basedOn w:val="email"/>
    <w:next w:val="email"/>
  </w:style>
  <w:style w:type="paragraph" w:customStyle="1" w:styleId="abstract">
    <w:name w:val="abstract"/>
    <w:basedOn w:val="Normal"/>
    <w:next w:val="keywords"/>
    <w:pPr>
      <w:spacing w:before="120"/>
    </w:pPr>
    <w:rPr>
      <w:sz w:val="20"/>
    </w:rPr>
  </w:style>
  <w:style w:type="paragraph" w:customStyle="1" w:styleId="keywords">
    <w:name w:val="keywords"/>
    <w:basedOn w:val="Normal"/>
    <w:next w:val="Normal"/>
    <w:pPr>
      <w:spacing w:before="120"/>
    </w:pPr>
    <w:rPr>
      <w:i/>
    </w:rPr>
  </w:style>
  <w:style w:type="paragraph" w:customStyle="1" w:styleId="extraaddress">
    <w:name w:val="extraaddress"/>
    <w:basedOn w:val="email"/>
  </w:style>
  <w:style w:type="paragraph" w:customStyle="1" w:styleId="reference">
    <w:name w:val="reference"/>
    <w:basedOn w:val="Normal"/>
    <w:rPr>
      <w:sz w:val="20"/>
    </w:rPr>
  </w:style>
  <w:style w:type="paragraph" w:customStyle="1" w:styleId="equation">
    <w:name w:val="equation"/>
    <w:basedOn w:val="Normal"/>
    <w:next w:val="Normal"/>
    <w:pPr>
      <w:spacing w:before="120" w:after="120"/>
      <w:jc w:val="center"/>
    </w:pPr>
  </w:style>
  <w:style w:type="paragraph" w:customStyle="1" w:styleId="articlenote">
    <w:name w:val="articlenote"/>
    <w:basedOn w:val="Normal"/>
    <w:next w:val="Normal"/>
    <w:pPr>
      <w:spacing w:line="240" w:lineRule="auto"/>
    </w:pPr>
  </w:style>
  <w:style w:type="paragraph" w:customStyle="1" w:styleId="figlegend">
    <w:name w:val="figlegend"/>
    <w:basedOn w:val="Normal"/>
    <w:next w:val="Normal"/>
    <w:pPr>
      <w:spacing w:before="120"/>
    </w:pPr>
    <w:rPr>
      <w:sz w:val="20"/>
    </w:rPr>
  </w:style>
  <w:style w:type="paragraph" w:customStyle="1" w:styleId="tablelegend">
    <w:name w:val="tablelegend"/>
    <w:basedOn w:val="Normal"/>
    <w:next w:val="Normal"/>
    <w:pPr>
      <w:spacing w:before="120"/>
    </w:pPr>
    <w:rPr>
      <w:sz w:val="20"/>
    </w:rPr>
  </w:style>
  <w:style w:type="paragraph" w:styleId="Paragraphedeliste">
    <w:name w:val="List Paragraph"/>
    <w:basedOn w:val="Normal"/>
    <w:uiPriority w:val="34"/>
    <w:qFormat/>
    <w:rsid w:val="00B01737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url">
    <w:name w:val="url"/>
    <w:basedOn w:val="email"/>
    <w:next w:val="Normal"/>
  </w:style>
  <w:style w:type="character" w:customStyle="1" w:styleId="label">
    <w:name w:val="label"/>
    <w:rsid w:val="00B01737"/>
  </w:style>
  <w:style w:type="character" w:customStyle="1" w:styleId="En-tteCar">
    <w:name w:val="En-tête Car"/>
    <w:basedOn w:val="Policepardfaut"/>
    <w:link w:val="En-tte"/>
    <w:uiPriority w:val="99"/>
    <w:rsid w:val="00B01737"/>
    <w:rPr>
      <w:rFonts w:ascii="Calibri" w:eastAsia="Calibri" w:hAnsi="Calibri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862636"/>
    <w:rPr>
      <w:rFonts w:asciiTheme="majorBidi" w:eastAsia="SimSun" w:hAnsiTheme="majorBidi" w:cstheme="majorBidi"/>
      <w:b/>
      <w:bCs/>
      <w:color w:val="000000" w:themeColor="text1"/>
      <w:szCs w:val="28"/>
      <w:lang w:val="en-US" w:eastAsia="ar-SA"/>
    </w:rPr>
  </w:style>
  <w:style w:type="paragraph" w:customStyle="1" w:styleId="Normal1">
    <w:name w:val="Normal1"/>
    <w:uiPriority w:val="99"/>
    <w:rsid w:val="0086263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DELL\AppData\Local\Temp\Rar$DIa0.055\sv-jour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sv-journ</Template>
  <TotalTime>7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Author template for journal articles</vt:lpstr>
      <vt:lpstr>Author template for journal articles</vt:lpstr>
    </vt:vector>
  </TitlesOfParts>
  <Company>SPRINGER VERLAG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template for journal articles</dc:title>
  <dc:subject/>
  <dc:creator>I-TEC-DZ</dc:creator>
  <cp:keywords/>
  <dc:description>Springer Heidelberg 2005</dc:description>
  <cp:lastModifiedBy>I-TEC-DZ</cp:lastModifiedBy>
  <cp:revision>5</cp:revision>
  <cp:lastPrinted>1997-08-25T15:11:00Z</cp:lastPrinted>
  <dcterms:created xsi:type="dcterms:W3CDTF">2017-04-30T11:27:00Z</dcterms:created>
  <dcterms:modified xsi:type="dcterms:W3CDTF">2017-04-30T12:00:00Z</dcterms:modified>
</cp:coreProperties>
</file>