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0C" w:rsidRPr="00862636" w:rsidRDefault="0013550C" w:rsidP="0013550C">
      <w:pPr>
        <w:pStyle w:val="Titre10"/>
        <w:jc w:val="center"/>
        <w:rPr>
          <w:lang w:val="en-US" w:bidi="en-US"/>
        </w:rPr>
      </w:pPr>
      <w:bookmarkStart w:id="0" w:name="_Toc462424392"/>
      <w:bookmarkStart w:id="1" w:name="_Toc462424471"/>
      <w:r w:rsidRPr="00862636">
        <w:rPr>
          <w:lang w:val="en-US" w:bidi="en-US"/>
        </w:rPr>
        <w:t xml:space="preserve">Evaluation of the </w:t>
      </w:r>
      <w:proofErr w:type="spellStart"/>
      <w:r w:rsidRPr="00862636">
        <w:rPr>
          <w:lang w:val="en-US" w:bidi="en-US"/>
        </w:rPr>
        <w:t>artherogenic</w:t>
      </w:r>
      <w:proofErr w:type="spellEnd"/>
      <w:r w:rsidRPr="00862636">
        <w:rPr>
          <w:lang w:val="en-US" w:bidi="en-US"/>
        </w:rPr>
        <w:t xml:space="preserve"> potential of homocysteine and its cytotoxic effect on HUVECs</w:t>
      </w:r>
    </w:p>
    <w:p w:rsidR="0013550C" w:rsidRPr="00313C18" w:rsidRDefault="0013550C" w:rsidP="0013550C">
      <w:pPr>
        <w:suppressAutoHyphens/>
        <w:rPr>
          <w:rFonts w:asciiTheme="majorBidi" w:eastAsia="SimSun" w:hAnsiTheme="majorBidi" w:cstheme="majorBidi"/>
          <w:b/>
          <w:sz w:val="24"/>
          <w:szCs w:val="24"/>
          <w:lang w:eastAsia="ar-SA"/>
        </w:rPr>
      </w:pPr>
      <w:r w:rsidRPr="00313C18">
        <w:rPr>
          <w:rFonts w:asciiTheme="majorBidi" w:eastAsia="SimSun" w:hAnsiTheme="majorBidi" w:cstheme="majorBidi"/>
          <w:b/>
          <w:sz w:val="24"/>
          <w:szCs w:val="24"/>
          <w:lang w:eastAsia="ar-SA"/>
        </w:rPr>
        <w:t xml:space="preserve">Type of </w:t>
      </w:r>
      <w:proofErr w:type="gramStart"/>
      <w:r w:rsidRPr="00313C18">
        <w:rPr>
          <w:rFonts w:asciiTheme="majorBidi" w:eastAsia="SimSun" w:hAnsiTheme="majorBidi" w:cstheme="majorBidi"/>
          <w:b/>
          <w:sz w:val="24"/>
          <w:szCs w:val="24"/>
          <w:lang w:eastAsia="ar-SA"/>
        </w:rPr>
        <w:t>article:</w:t>
      </w:r>
      <w:proofErr w:type="gramEnd"/>
      <w:r w:rsidRPr="00313C18">
        <w:rPr>
          <w:rFonts w:asciiTheme="majorBidi" w:eastAsia="SimSun" w:hAnsiTheme="majorBidi" w:cstheme="majorBidi"/>
          <w:b/>
          <w:sz w:val="24"/>
          <w:szCs w:val="24"/>
          <w:lang w:eastAsia="ar-SA"/>
        </w:rPr>
        <w:t xml:space="preserve"> </w:t>
      </w:r>
      <w:proofErr w:type="spellStart"/>
      <w:r w:rsidRPr="00313C18">
        <w:rPr>
          <w:rFonts w:asciiTheme="majorBidi" w:eastAsia="SimSun" w:hAnsiTheme="majorBidi" w:cstheme="majorBidi"/>
          <w:b/>
          <w:sz w:val="24"/>
          <w:szCs w:val="24"/>
          <w:lang w:eastAsia="ar-SA"/>
        </w:rPr>
        <w:t>Conference</w:t>
      </w:r>
      <w:proofErr w:type="spellEnd"/>
      <w:r w:rsidRPr="00313C18">
        <w:rPr>
          <w:rFonts w:asciiTheme="majorBidi" w:eastAsia="SimSun" w:hAnsiTheme="majorBidi" w:cstheme="majorBidi"/>
          <w:b/>
          <w:sz w:val="24"/>
          <w:szCs w:val="24"/>
          <w:lang w:eastAsia="ar-SA"/>
        </w:rPr>
        <w:t xml:space="preserve"> abstract</w:t>
      </w:r>
    </w:p>
    <w:p w:rsidR="0013550C" w:rsidRPr="00313C18" w:rsidRDefault="0013550C" w:rsidP="0013550C">
      <w:pPr>
        <w:pStyle w:val="author"/>
        <w:jc w:val="center"/>
      </w:pPr>
      <w:bookmarkStart w:id="2" w:name="_Toc462424472"/>
      <w:proofErr w:type="spellStart"/>
      <w:r w:rsidRPr="00313C18">
        <w:t>Chérifa</w:t>
      </w:r>
      <w:proofErr w:type="spellEnd"/>
      <w:r w:rsidRPr="00313C18">
        <w:t xml:space="preserve"> AGGOUN</w:t>
      </w:r>
      <w:r w:rsidRPr="00313C18">
        <w:rPr>
          <w:vertAlign w:val="superscript"/>
        </w:rPr>
        <w:t>1</w:t>
      </w:r>
      <w:r w:rsidRPr="00313C18">
        <w:t xml:space="preserve">, </w:t>
      </w:r>
      <w:proofErr w:type="spellStart"/>
      <w:r w:rsidRPr="00313C18">
        <w:t>Ibtissem</w:t>
      </w:r>
      <w:proofErr w:type="spellEnd"/>
      <w:r w:rsidRPr="00313C18">
        <w:t xml:space="preserve"> ELOUAR</w:t>
      </w:r>
      <w:r w:rsidRPr="00313C18">
        <w:rPr>
          <w:vertAlign w:val="superscript"/>
        </w:rPr>
        <w:t>1</w:t>
      </w:r>
      <w:r w:rsidRPr="00313C18">
        <w:t>, Souad LAMDA</w:t>
      </w:r>
      <w:r w:rsidRPr="00313C18">
        <w:rPr>
          <w:vertAlign w:val="superscript"/>
        </w:rPr>
        <w:t>1</w:t>
      </w:r>
      <w:proofErr w:type="gramStart"/>
      <w:r w:rsidRPr="00313C18">
        <w:rPr>
          <w:vertAlign w:val="superscript"/>
        </w:rPr>
        <w:t>,2</w:t>
      </w:r>
      <w:proofErr w:type="gramEnd"/>
      <w:r w:rsidRPr="00313C18">
        <w:t>, Dalila NAIMI</w:t>
      </w:r>
      <w:r w:rsidRPr="00313C18">
        <w:rPr>
          <w:vertAlign w:val="superscript"/>
        </w:rPr>
        <w:t>1,2</w:t>
      </w:r>
      <w:bookmarkEnd w:id="2"/>
    </w:p>
    <w:p w:rsidR="0013550C" w:rsidRPr="00313C18" w:rsidRDefault="0013550C" w:rsidP="0013550C">
      <w:pPr>
        <w:pStyle w:val="affiliation"/>
        <w:jc w:val="center"/>
      </w:pPr>
      <w:bookmarkStart w:id="3" w:name="_Toc462424473"/>
      <w:r w:rsidRPr="00313C18">
        <w:t xml:space="preserve">1. Laboratoire de Génie Microbiologique et Application, </w:t>
      </w:r>
      <w:proofErr w:type="spellStart"/>
      <w:r w:rsidRPr="00313C18">
        <w:t>Equipe</w:t>
      </w:r>
      <w:proofErr w:type="spellEnd"/>
      <w:r w:rsidRPr="00313C18">
        <w:t xml:space="preserve"> de Biologie physiologie Cellulaire &amp; moléculaire, Université Frères </w:t>
      </w:r>
      <w:proofErr w:type="spellStart"/>
      <w:r w:rsidRPr="00313C18">
        <w:t>Mentouri</w:t>
      </w:r>
      <w:proofErr w:type="spellEnd"/>
      <w:r w:rsidRPr="00313C18">
        <w:t xml:space="preserve"> Constantine 25000, </w:t>
      </w:r>
      <w:proofErr w:type="spellStart"/>
      <w:r w:rsidRPr="00313C18">
        <w:t>Algerie</w:t>
      </w:r>
      <w:proofErr w:type="spellEnd"/>
      <w:r w:rsidRPr="00313C18">
        <w:t>.</w:t>
      </w:r>
      <w:bookmarkEnd w:id="3"/>
    </w:p>
    <w:p w:rsidR="0013550C" w:rsidRPr="00862636" w:rsidRDefault="0013550C" w:rsidP="0013550C">
      <w:pPr>
        <w:pStyle w:val="affiliation"/>
        <w:jc w:val="center"/>
        <w:rPr>
          <w:lang w:val="en-US"/>
        </w:rPr>
      </w:pPr>
      <w:bookmarkStart w:id="4" w:name="_Toc462424474"/>
      <w:r w:rsidRPr="00313C18">
        <w:t xml:space="preserve">2. </w:t>
      </w:r>
      <w:proofErr w:type="spellStart"/>
      <w:r w:rsidRPr="00313C18">
        <w:t>Ecole</w:t>
      </w:r>
      <w:proofErr w:type="spellEnd"/>
      <w:r w:rsidRPr="00313C18">
        <w:t xml:space="preserve"> Nationale Supérieure de Biotechnologie, Nouveau pôle Ali </w:t>
      </w:r>
      <w:proofErr w:type="spellStart"/>
      <w:r w:rsidRPr="00313C18">
        <w:t>Mendjli</w:t>
      </w:r>
      <w:proofErr w:type="spellEnd"/>
      <w:r w:rsidRPr="00313C18">
        <w:t xml:space="preserve">. </w:t>
      </w:r>
      <w:r w:rsidRPr="00862636">
        <w:rPr>
          <w:lang w:val="en-US"/>
        </w:rPr>
        <w:t xml:space="preserve">Constantine 2500, </w:t>
      </w:r>
      <w:proofErr w:type="spellStart"/>
      <w:r w:rsidRPr="00862636">
        <w:rPr>
          <w:lang w:val="en-US"/>
        </w:rPr>
        <w:t>Algérie</w:t>
      </w:r>
      <w:bookmarkEnd w:id="4"/>
      <w:proofErr w:type="spellEnd"/>
    </w:p>
    <w:p w:rsidR="0013550C" w:rsidRPr="00862636" w:rsidRDefault="0013550C" w:rsidP="0013550C">
      <w:pPr>
        <w:pStyle w:val="email"/>
        <w:jc w:val="center"/>
        <w:rPr>
          <w:lang w:val="en-US"/>
        </w:rPr>
      </w:pPr>
      <w:bookmarkStart w:id="5" w:name="_Toc462424475"/>
      <w:r w:rsidRPr="00862636">
        <w:rPr>
          <w:lang w:val="en-US"/>
        </w:rPr>
        <w:t>aggounccherifa@gmail.com</w:t>
      </w:r>
      <w:bookmarkEnd w:id="5"/>
    </w:p>
    <w:p w:rsidR="0013550C" w:rsidRPr="00862636" w:rsidRDefault="0013550C" w:rsidP="0013550C">
      <w:pPr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sz w:val="24"/>
          <w:szCs w:val="24"/>
          <w:lang w:val="en-US"/>
        </w:rPr>
      </w:pPr>
    </w:p>
    <w:p w:rsidR="0013550C" w:rsidRPr="00862636" w:rsidRDefault="0013550C" w:rsidP="0013550C">
      <w:pPr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6" w:name="_Toc462424476"/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bookmarkEnd w:id="6"/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13550C" w:rsidRPr="00862636" w:rsidRDefault="0013550C" w:rsidP="0013550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Background: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In recent decades, several studies have shown that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hyperhomocysteinemia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is an independent risk factor for atherosclerosis. The objective of this work is, first, to assess the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atherogenic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potential of homocysteine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in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rats and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appraise its effect on endothelial cells: the main components of the blood vessel. </w:t>
      </w:r>
    </w:p>
    <w:p w:rsidR="0013550C" w:rsidRPr="00862636" w:rsidRDefault="0013550C" w:rsidP="0013550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>Methods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: In the </w:t>
      </w:r>
      <w:r w:rsidRPr="00862636">
        <w:rPr>
          <w:rFonts w:asciiTheme="majorBidi" w:hAnsiTheme="majorBidi" w:cstheme="majorBidi"/>
          <w:i/>
          <w:sz w:val="24"/>
          <w:szCs w:val="24"/>
          <w:lang w:val="en-US"/>
        </w:rPr>
        <w:t>in vivo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study,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hyperhomocysteinemia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is induced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in rats by a diet supplemented with L-methionine (1 g/kg/day). After 21 days of treatment, a blood sample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is performed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for biochemical study (total cholesterol, triglycerides, HDL, LDL cholesterol, ALT, AST, CRP, and total protein) and a removal of organs (aorta, liver, and heart) for the assay MDA and histological study. For the </w:t>
      </w:r>
      <w:r w:rsidRPr="00862636">
        <w:rPr>
          <w:rFonts w:asciiTheme="majorBidi" w:hAnsiTheme="majorBidi" w:cstheme="majorBidi"/>
          <w:i/>
          <w:sz w:val="24"/>
          <w:szCs w:val="24"/>
          <w:lang w:val="en-US"/>
        </w:rPr>
        <w:t>in vitro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study, HUVECs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were cultured for 24 h then exposed to various concentrations of homocysteine (2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mM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, 4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mM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, 8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mM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>)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. After 24 hours, we confirm the cellular phenotype and its number. </w:t>
      </w:r>
    </w:p>
    <w:p w:rsidR="0013550C" w:rsidRPr="00862636" w:rsidRDefault="0013550C" w:rsidP="0013550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>Results</w:t>
      </w:r>
      <w:r w:rsidRPr="00862636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angiotoxic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dose of methionine induces a significant increase for all biochemical parameters (except HDL-C, which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is diminished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In addition, an alteration of the histological structure of the aorta (appearance of foam cells) of the liver (steatosis) and of the heart.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Pr="00862636">
        <w:rPr>
          <w:rFonts w:asciiTheme="majorBidi" w:hAnsiTheme="majorBidi" w:cstheme="majorBidi"/>
          <w:i/>
          <w:sz w:val="24"/>
          <w:szCs w:val="24"/>
          <w:lang w:val="en-US"/>
        </w:rPr>
        <w:t>in vitro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study revealed a senescent phenotype of HUVECs and an inhibition of cell proliferation</w:t>
      </w:r>
      <w:r w:rsidRPr="00862636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13550C" w:rsidRPr="00862636" w:rsidRDefault="0013550C" w:rsidP="0013550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Conclusion: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Our results suggest that homocysteine is involved in the genesis of atherosclerosis by affecting directly the endothelial cells. </w:t>
      </w:r>
    </w:p>
    <w:p w:rsidR="0013550C" w:rsidRPr="00DB2FBD" w:rsidRDefault="0013550C" w:rsidP="00DB2FBD">
      <w:pPr>
        <w:pStyle w:val="keywords"/>
        <w:rPr>
          <w:b/>
          <w:bCs/>
          <w:lang w:val="en-US"/>
        </w:rPr>
      </w:pPr>
      <w:r w:rsidRPr="00DB2FBD">
        <w:rPr>
          <w:b/>
          <w:bCs/>
          <w:lang w:val="en-US"/>
        </w:rPr>
        <w:t xml:space="preserve">Keywords: </w:t>
      </w:r>
      <w:bookmarkStart w:id="7" w:name="_GoBack"/>
      <w:r w:rsidRPr="00DB2FBD">
        <w:rPr>
          <w:lang w:val="en-US"/>
        </w:rPr>
        <w:t>Homocysteine, Atherosclerosis, Histology, Rat, HUVECs</w:t>
      </w:r>
      <w:bookmarkEnd w:id="7"/>
    </w:p>
    <w:p w:rsidR="0013550C" w:rsidRPr="00862636" w:rsidRDefault="0013550C" w:rsidP="0013550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3550C" w:rsidRPr="00313C18" w:rsidRDefault="0013550C" w:rsidP="00AC74ED">
      <w:pPr>
        <w:pStyle w:val="heading1"/>
        <w:numPr>
          <w:ilvl w:val="0"/>
          <w:numId w:val="21"/>
        </w:numPr>
      </w:pPr>
      <w:proofErr w:type="spellStart"/>
      <w:r w:rsidRPr="00313C18">
        <w:lastRenderedPageBreak/>
        <w:t>Declaration</w:t>
      </w:r>
      <w:proofErr w:type="spellEnd"/>
      <w:r w:rsidRPr="00313C18">
        <w:t xml:space="preserve"> of </w:t>
      </w:r>
      <w:proofErr w:type="spellStart"/>
      <w:r w:rsidRPr="00313C18">
        <w:t>conflicts</w:t>
      </w:r>
      <w:proofErr w:type="spellEnd"/>
      <w:r w:rsidRPr="00313C18">
        <w:t xml:space="preserve"> </w:t>
      </w:r>
    </w:p>
    <w:p w:rsidR="0013550C" w:rsidRPr="00862636" w:rsidRDefault="0013550C" w:rsidP="0013550C">
      <w:pPr>
        <w:tabs>
          <w:tab w:val="left" w:pos="2923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This article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was selected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from the International Conference of Health Sciences and Medical Technologies 2016 ICHSMT’16 abstracts book. </w:t>
      </w:r>
    </w:p>
    <w:p w:rsidR="0013550C" w:rsidRPr="00AC74ED" w:rsidRDefault="0013550C" w:rsidP="00AC74ED">
      <w:pPr>
        <w:pStyle w:val="heading1"/>
        <w:numPr>
          <w:ilvl w:val="0"/>
          <w:numId w:val="21"/>
        </w:numPr>
      </w:pPr>
      <w:proofErr w:type="spellStart"/>
      <w:r w:rsidRPr="00AC74ED">
        <w:t>Authors</w:t>
      </w:r>
      <w:proofErr w:type="spellEnd"/>
      <w:r w:rsidRPr="00AC74ED">
        <w:t xml:space="preserve">’ </w:t>
      </w:r>
      <w:proofErr w:type="spellStart"/>
      <w:r w:rsidRPr="00AC74ED">
        <w:t>biography</w:t>
      </w:r>
      <w:proofErr w:type="spellEnd"/>
    </w:p>
    <w:p w:rsidR="0013550C" w:rsidRPr="00313C18" w:rsidRDefault="0013550C" w:rsidP="0013550C">
      <w:pPr>
        <w:pStyle w:val="Normal1"/>
        <w:spacing w:line="240" w:lineRule="auto"/>
        <w:ind w:left="360"/>
        <w:jc w:val="both"/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</w:pPr>
      <w:r w:rsidRPr="00313C18"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  <w:t xml:space="preserve">No Biography </w:t>
      </w:r>
    </w:p>
    <w:p w:rsidR="0013550C" w:rsidRPr="00313C18" w:rsidRDefault="0013550C" w:rsidP="0013550C">
      <w:pPr>
        <w:pStyle w:val="Normal1"/>
        <w:spacing w:line="240" w:lineRule="auto"/>
        <w:ind w:left="360"/>
        <w:jc w:val="both"/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</w:pPr>
    </w:p>
    <w:p w:rsidR="0013550C" w:rsidRPr="00AC74ED" w:rsidRDefault="0013550C" w:rsidP="00AC74ED">
      <w:pPr>
        <w:pStyle w:val="heading1"/>
        <w:numPr>
          <w:ilvl w:val="0"/>
          <w:numId w:val="21"/>
        </w:numPr>
      </w:pPr>
      <w:proofErr w:type="spellStart"/>
      <w:r w:rsidRPr="00AC74ED">
        <w:t>References</w:t>
      </w:r>
      <w:proofErr w:type="spellEnd"/>
      <w:r w:rsidRPr="00AC74ED">
        <w:t xml:space="preserve"> </w:t>
      </w:r>
    </w:p>
    <w:p w:rsidR="0013550C" w:rsidRDefault="0013550C" w:rsidP="0013550C">
      <w:pPr>
        <w:suppressAutoHyphens/>
        <w:jc w:val="both"/>
        <w:rPr>
          <w:rFonts w:asciiTheme="majorBidi" w:eastAsia="SimSun" w:hAnsiTheme="majorBidi" w:cstheme="majorBidi"/>
          <w:bCs/>
          <w:sz w:val="24"/>
          <w:szCs w:val="24"/>
          <w:lang w:eastAsia="ar-SA"/>
        </w:rPr>
      </w:pPr>
      <w:r w:rsidRPr="00313C1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No </w:t>
      </w:r>
      <w:proofErr w:type="spellStart"/>
      <w:r w:rsidRPr="00313C1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reference</w:t>
      </w:r>
      <w:r w:rsidR="00AC74ED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s</w:t>
      </w:r>
      <w:proofErr w:type="spellEnd"/>
      <w:r w:rsidRPr="00313C1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</w:t>
      </w:r>
    </w:p>
    <w:p w:rsidR="0013550C" w:rsidRPr="00313C18" w:rsidRDefault="0013550C" w:rsidP="0013550C">
      <w:pPr>
        <w:suppressAutoHyphens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  <w:bookmarkStart w:id="8" w:name="_Toc462424477"/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bookmarkEnd w:id="0"/>
    <w:bookmarkEnd w:id="1"/>
    <w:bookmarkEnd w:id="8"/>
    <w:p w:rsidR="0013550C" w:rsidRDefault="0013550C" w:rsidP="0013550C">
      <w:pPr>
        <w:tabs>
          <w:tab w:val="left" w:pos="2923"/>
        </w:tabs>
        <w:spacing w:after="240" w:line="480" w:lineRule="auto"/>
        <w:ind w:firstLine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</w:p>
    <w:sectPr w:rsidR="0013550C" w:rsidSect="00496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134" w:left="2552" w:header="720" w:footer="720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79" w:rsidRDefault="00847C79">
      <w:r>
        <w:separator/>
      </w:r>
    </w:p>
  </w:endnote>
  <w:endnote w:type="continuationSeparator" w:id="0">
    <w:p w:rsidR="00847C79" w:rsidRDefault="008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22" w:rsidRDefault="004962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55" w:rsidRDefault="00D40246" w:rsidP="008D1739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B2FBD">
      <w:rPr>
        <w:rStyle w:val="Numrodepage"/>
        <w:noProof/>
      </w:rPr>
      <w:t>34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22" w:rsidRDefault="004962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79" w:rsidRDefault="00847C79">
      <w:r>
        <w:separator/>
      </w:r>
    </w:p>
  </w:footnote>
  <w:footnote w:type="continuationSeparator" w:id="0">
    <w:p w:rsidR="00847C79" w:rsidRDefault="0084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22" w:rsidRDefault="004962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37" w:rsidRPr="00E84797" w:rsidRDefault="00B01737" w:rsidP="00496222">
    <w:pPr>
      <w:pStyle w:val="En-tte"/>
      <w:rPr>
        <w:sz w:val="18"/>
        <w:szCs w:val="18"/>
        <w:lang w:val="en-US"/>
      </w:rPr>
    </w:pPr>
    <w:r w:rsidRPr="00E84797">
      <w:rPr>
        <w:sz w:val="18"/>
        <w:szCs w:val="18"/>
        <w:lang w:val="en-US"/>
      </w:rPr>
      <w:t xml:space="preserve">Medical Technologies Journal                                           Volume: 1, Issue: </w:t>
    </w:r>
    <w:r>
      <w:rPr>
        <w:sz w:val="18"/>
        <w:szCs w:val="18"/>
        <w:lang w:val="en-US"/>
      </w:rPr>
      <w:t>-</w:t>
    </w:r>
    <w:r w:rsidRPr="00E84797">
      <w:rPr>
        <w:sz w:val="18"/>
        <w:szCs w:val="18"/>
        <w:lang w:val="en-US"/>
      </w:rPr>
      <w:t>, January-March 2017, Pages:</w:t>
    </w:r>
    <w:r>
      <w:rPr>
        <w:sz w:val="18"/>
        <w:szCs w:val="18"/>
        <w:lang w:val="en-US"/>
      </w:rPr>
      <w:t xml:space="preserve"> </w:t>
    </w:r>
    <w:r w:rsidR="00AC74ED">
      <w:rPr>
        <w:sz w:val="18"/>
        <w:szCs w:val="18"/>
        <w:lang w:val="en-US"/>
      </w:rPr>
      <w:t>3</w:t>
    </w:r>
    <w:r w:rsidR="00496222">
      <w:rPr>
        <w:sz w:val="18"/>
        <w:szCs w:val="18"/>
        <w:lang w:val="en-US"/>
      </w:rPr>
      <w:t>3</w:t>
    </w:r>
    <w:r>
      <w:rPr>
        <w:sz w:val="18"/>
        <w:szCs w:val="18"/>
        <w:lang w:val="en-US"/>
      </w:rPr>
      <w:t>-</w:t>
    </w:r>
    <w:r w:rsidR="00705E74">
      <w:rPr>
        <w:sz w:val="18"/>
        <w:szCs w:val="18"/>
        <w:lang w:val="en-US"/>
      </w:rPr>
      <w:t>3</w:t>
    </w:r>
    <w:r w:rsidR="00496222">
      <w:rPr>
        <w:sz w:val="18"/>
        <w:szCs w:val="18"/>
        <w:lang w:val="en-US"/>
      </w:rPr>
      <w:t>4</w:t>
    </w:r>
    <w:r w:rsidRPr="00E84797">
      <w:rPr>
        <w:sz w:val="18"/>
        <w:szCs w:val="18"/>
        <w:lang w:val="en-US"/>
      </w:rPr>
      <w:t>.</w:t>
    </w:r>
  </w:p>
  <w:p w:rsidR="00B01737" w:rsidRPr="00B01737" w:rsidRDefault="00B01737" w:rsidP="00B01737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22" w:rsidRDefault="004962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E70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5A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E3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3F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5AD"/>
    <w:multiLevelType w:val="multilevel"/>
    <w:tmpl w:val="373AFA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86298C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D3352E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C305A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8F548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1E5D0A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C1617"/>
    <w:multiLevelType w:val="hybridMultilevel"/>
    <w:tmpl w:val="EF263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2C50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3C172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3213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B851ED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5482ABC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142058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A0490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CA6642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1964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A4CD4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D4DA6"/>
    <w:multiLevelType w:val="multilevel"/>
    <w:tmpl w:val="C17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392AF9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15F3D63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E96175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71867"/>
    <w:multiLevelType w:val="multilevel"/>
    <w:tmpl w:val="041E4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4A0520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1"/>
  </w:num>
  <w:num w:numId="4">
    <w:abstractNumId w:val="4"/>
  </w:num>
  <w:num w:numId="5">
    <w:abstractNumId w:val="15"/>
  </w:num>
  <w:num w:numId="6">
    <w:abstractNumId w:val="12"/>
  </w:num>
  <w:num w:numId="7">
    <w:abstractNumId w:val="16"/>
  </w:num>
  <w:num w:numId="8">
    <w:abstractNumId w:val="26"/>
  </w:num>
  <w:num w:numId="9">
    <w:abstractNumId w:val="19"/>
  </w:num>
  <w:num w:numId="10">
    <w:abstractNumId w:val="18"/>
  </w:num>
  <w:num w:numId="11">
    <w:abstractNumId w:val="9"/>
  </w:num>
  <w:num w:numId="12">
    <w:abstractNumId w:val="3"/>
  </w:num>
  <w:num w:numId="13">
    <w:abstractNumId w:val="0"/>
  </w:num>
  <w:num w:numId="14">
    <w:abstractNumId w:val="24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23"/>
  </w:num>
  <w:num w:numId="20">
    <w:abstractNumId w:val="5"/>
  </w:num>
  <w:num w:numId="21">
    <w:abstractNumId w:val="14"/>
  </w:num>
  <w:num w:numId="22">
    <w:abstractNumId w:val="22"/>
  </w:num>
  <w:num w:numId="23">
    <w:abstractNumId w:val="20"/>
  </w:num>
  <w:num w:numId="24">
    <w:abstractNumId w:val="7"/>
  </w:num>
  <w:num w:numId="25">
    <w:abstractNumId w:val="17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A4"/>
    <w:rsid w:val="0013550C"/>
    <w:rsid w:val="00235543"/>
    <w:rsid w:val="00496222"/>
    <w:rsid w:val="004A054F"/>
    <w:rsid w:val="00705E74"/>
    <w:rsid w:val="00745D6B"/>
    <w:rsid w:val="00765FAE"/>
    <w:rsid w:val="007902A4"/>
    <w:rsid w:val="007B7756"/>
    <w:rsid w:val="00847C79"/>
    <w:rsid w:val="00862636"/>
    <w:rsid w:val="008D1739"/>
    <w:rsid w:val="00A33855"/>
    <w:rsid w:val="00A65935"/>
    <w:rsid w:val="00AC74ED"/>
    <w:rsid w:val="00B01737"/>
    <w:rsid w:val="00B938DF"/>
    <w:rsid w:val="00D40246"/>
    <w:rsid w:val="00DB2FBD"/>
    <w:rsid w:val="00E42EB3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1C023-6745-458E-A638-315971E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37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862636"/>
    <w:pPr>
      <w:keepNext/>
      <w:keepLines/>
      <w:spacing w:after="0" w:line="240" w:lineRule="auto"/>
      <w:jc w:val="center"/>
      <w:outlineLvl w:val="0"/>
    </w:pPr>
    <w:rPr>
      <w:rFonts w:asciiTheme="majorBidi" w:eastAsia="SimSun" w:hAnsiTheme="majorBidi" w:cstheme="majorBidi"/>
      <w:b/>
      <w:bCs/>
      <w:color w:val="000000" w:themeColor="text1"/>
      <w:sz w:val="20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abbreviations">
    <w:name w:val="abbreviations"/>
    <w:basedOn w:val="abstract"/>
    <w:next w:val="Normal"/>
    <w:pPr>
      <w:tabs>
        <w:tab w:val="left" w:pos="3402"/>
      </w:tabs>
      <w:ind w:left="3402" w:hanging="3402"/>
    </w:pPr>
  </w:style>
  <w:style w:type="paragraph" w:customStyle="1" w:styleId="Titre10">
    <w:name w:val="Titre1"/>
    <w:basedOn w:val="Normal"/>
    <w:next w:val="author"/>
    <w:rPr>
      <w:rFonts w:ascii="Arial" w:hAnsi="Arial"/>
      <w:b/>
      <w:sz w:val="36"/>
    </w:rPr>
  </w:style>
  <w:style w:type="paragraph" w:customStyle="1" w:styleId="heading1">
    <w:name w:val="heading1"/>
    <w:basedOn w:val="Normal"/>
    <w:next w:val="Normal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heading2">
    <w:name w:val="heading2"/>
    <w:basedOn w:val="Normal"/>
    <w:next w:val="Normal"/>
    <w:pPr>
      <w:keepNext/>
      <w:spacing w:before="240" w:after="180"/>
    </w:pPr>
    <w:rPr>
      <w:rFonts w:ascii="Arial" w:hAnsi="Arial"/>
      <w:b/>
    </w:rPr>
  </w:style>
  <w:style w:type="paragraph" w:customStyle="1" w:styleId="heading3">
    <w:name w:val="heading3"/>
    <w:basedOn w:val="Normal"/>
    <w:next w:val="Normal"/>
    <w:pPr>
      <w:keepNext/>
      <w:spacing w:before="240" w:after="180"/>
    </w:pPr>
    <w:rPr>
      <w:rFonts w:ascii="Arial" w:hAnsi="Arial"/>
      <w:i/>
    </w:rPr>
  </w:style>
  <w:style w:type="paragraph" w:customStyle="1" w:styleId="run-in">
    <w:name w:val="run-in"/>
    <w:basedOn w:val="Normal"/>
    <w:next w:val="Normal"/>
    <w:pPr>
      <w:keepNext/>
      <w:spacing w:before="120"/>
    </w:pPr>
    <w:rPr>
      <w:b/>
    </w:rPr>
  </w:style>
  <w:style w:type="paragraph" w:customStyle="1" w:styleId="Titre11">
    <w:name w:val="Titre1"/>
    <w:basedOn w:val="Normal"/>
    <w:next w:val="Normal"/>
    <w:rsid w:val="00B01737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eastAsia="de-DE"/>
    </w:rPr>
  </w:style>
  <w:style w:type="paragraph" w:customStyle="1" w:styleId="figurecitation">
    <w:name w:val="figurecitation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Arial" w:hAnsi="Arial"/>
      <w:b/>
      <w:sz w:val="36"/>
    </w:rPr>
  </w:style>
  <w:style w:type="paragraph" w:customStyle="1" w:styleId="acknowledgements">
    <w:name w:val="acknowledgements"/>
    <w:basedOn w:val="abstract"/>
    <w:next w:val="Normal"/>
    <w:pPr>
      <w:spacing w:before="240"/>
    </w:pPr>
  </w:style>
  <w:style w:type="paragraph" w:customStyle="1" w:styleId="author">
    <w:name w:val="author"/>
    <w:basedOn w:val="Normal"/>
    <w:next w:val="affiliation"/>
    <w:pPr>
      <w:spacing w:before="120"/>
    </w:pPr>
  </w:style>
  <w:style w:type="paragraph" w:customStyle="1" w:styleId="affiliation">
    <w:name w:val="affiliation"/>
    <w:basedOn w:val="Normal"/>
    <w:next w:val="phone"/>
    <w:pPr>
      <w:spacing w:before="120" w:line="240" w:lineRule="auto"/>
    </w:pPr>
    <w:rPr>
      <w:i/>
    </w:rPr>
  </w:style>
  <w:style w:type="paragraph" w:customStyle="1" w:styleId="email">
    <w:name w:val="email"/>
    <w:basedOn w:val="Normal"/>
    <w:next w:val="url"/>
    <w:pPr>
      <w:spacing w:before="120" w:line="240" w:lineRule="auto"/>
    </w:pPr>
    <w:rPr>
      <w:sz w:val="20"/>
    </w:rPr>
  </w:style>
  <w:style w:type="paragraph" w:customStyle="1" w:styleId="phone">
    <w:name w:val="phone"/>
    <w:basedOn w:val="email"/>
    <w:next w:val="fax"/>
  </w:style>
  <w:style w:type="paragraph" w:customStyle="1" w:styleId="fax">
    <w:name w:val="fax"/>
    <w:basedOn w:val="email"/>
    <w:next w:val="email"/>
  </w:style>
  <w:style w:type="paragraph" w:customStyle="1" w:styleId="abstract">
    <w:name w:val="abstract"/>
    <w:basedOn w:val="Normal"/>
    <w:next w:val="keywords"/>
    <w:pPr>
      <w:spacing w:before="120"/>
    </w:pPr>
    <w:rPr>
      <w:sz w:val="20"/>
    </w:rPr>
  </w:style>
  <w:style w:type="paragraph" w:customStyle="1" w:styleId="keywords">
    <w:name w:val="keywords"/>
    <w:basedOn w:val="Normal"/>
    <w:next w:val="Normal"/>
    <w:pPr>
      <w:spacing w:before="120"/>
    </w:pPr>
    <w:rPr>
      <w:i/>
    </w:rPr>
  </w:style>
  <w:style w:type="paragraph" w:customStyle="1" w:styleId="extraaddress">
    <w:name w:val="extraaddress"/>
    <w:basedOn w:val="email"/>
  </w:style>
  <w:style w:type="paragraph" w:customStyle="1" w:styleId="reference">
    <w:name w:val="reference"/>
    <w:basedOn w:val="Normal"/>
    <w:rPr>
      <w:sz w:val="20"/>
    </w:rPr>
  </w:style>
  <w:style w:type="paragraph" w:customStyle="1" w:styleId="equation">
    <w:name w:val="equation"/>
    <w:basedOn w:val="Normal"/>
    <w:next w:val="Normal"/>
    <w:pPr>
      <w:spacing w:before="120" w:after="120"/>
      <w:jc w:val="center"/>
    </w:pPr>
  </w:style>
  <w:style w:type="paragraph" w:customStyle="1" w:styleId="articlenote">
    <w:name w:val="articlenote"/>
    <w:basedOn w:val="Normal"/>
    <w:next w:val="Normal"/>
    <w:pPr>
      <w:spacing w:line="240" w:lineRule="auto"/>
    </w:pPr>
  </w:style>
  <w:style w:type="paragraph" w:customStyle="1" w:styleId="figlegend">
    <w:name w:val="figlegend"/>
    <w:basedOn w:val="Normal"/>
    <w:next w:val="Normal"/>
    <w:pPr>
      <w:spacing w:before="120"/>
    </w:pPr>
    <w:rPr>
      <w:sz w:val="20"/>
    </w:rPr>
  </w:style>
  <w:style w:type="paragraph" w:customStyle="1" w:styleId="tablelegend">
    <w:name w:val="tablelegend"/>
    <w:basedOn w:val="Normal"/>
    <w:next w:val="Normal"/>
    <w:pPr>
      <w:spacing w:before="120"/>
    </w:pPr>
    <w:rPr>
      <w:sz w:val="20"/>
    </w:rPr>
  </w:style>
  <w:style w:type="paragraph" w:styleId="Paragraphedeliste">
    <w:name w:val="List Paragraph"/>
    <w:basedOn w:val="Normal"/>
    <w:uiPriority w:val="34"/>
    <w:qFormat/>
    <w:rsid w:val="00B01737"/>
    <w:pPr>
      <w:spacing w:after="240" w:line="48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url">
    <w:name w:val="url"/>
    <w:basedOn w:val="email"/>
    <w:next w:val="Normal"/>
  </w:style>
  <w:style w:type="character" w:customStyle="1" w:styleId="label">
    <w:name w:val="label"/>
    <w:rsid w:val="00B01737"/>
  </w:style>
  <w:style w:type="character" w:customStyle="1" w:styleId="En-tteCar">
    <w:name w:val="En-tête Car"/>
    <w:basedOn w:val="Policepardfaut"/>
    <w:link w:val="En-tte"/>
    <w:uiPriority w:val="99"/>
    <w:rsid w:val="00B01737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862636"/>
    <w:rPr>
      <w:rFonts w:asciiTheme="majorBidi" w:eastAsia="SimSun" w:hAnsiTheme="majorBidi" w:cstheme="majorBidi"/>
      <w:b/>
      <w:bCs/>
      <w:color w:val="000000" w:themeColor="text1"/>
      <w:szCs w:val="28"/>
      <w:lang w:val="en-US" w:eastAsia="ar-SA"/>
    </w:rPr>
  </w:style>
  <w:style w:type="paragraph" w:customStyle="1" w:styleId="Normal1">
    <w:name w:val="Normal1"/>
    <w:uiPriority w:val="99"/>
    <w:rsid w:val="0086263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DELL\AppData\Local\Temp\Rar$DIa0.055\sv-jour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sv-journ</Template>
  <TotalTime>5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Author template for journal articles</vt:lpstr>
      <vt:lpstr>Author template for journal articles</vt:lpstr>
    </vt:vector>
  </TitlesOfParts>
  <Company>SPRINGER VERLAG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template for journal articles</dc:title>
  <dc:subject/>
  <dc:creator>I-TEC-DZ</dc:creator>
  <cp:keywords/>
  <dc:description>Springer Heidelberg 2005</dc:description>
  <cp:lastModifiedBy>I-TEC-DZ</cp:lastModifiedBy>
  <cp:revision>5</cp:revision>
  <cp:lastPrinted>1997-08-25T15:11:00Z</cp:lastPrinted>
  <dcterms:created xsi:type="dcterms:W3CDTF">2017-04-30T11:33:00Z</dcterms:created>
  <dcterms:modified xsi:type="dcterms:W3CDTF">2017-04-30T12:04:00Z</dcterms:modified>
</cp:coreProperties>
</file>